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F172B" w14:textId="4FB13860" w:rsidR="7C639B5A" w:rsidRDefault="00BB1782" w:rsidP="0050AC8C">
      <w:pPr>
        <w:pStyle w:val="Heading1"/>
      </w:pPr>
      <w:r>
        <w:t>Learning Analytics</w:t>
      </w:r>
      <w:r w:rsidR="7C639B5A">
        <w:t xml:space="preserve"> position paper</w:t>
      </w:r>
      <w:r w:rsidR="7E11F794">
        <w:t xml:space="preserve"> for consideration of QAEC </w:t>
      </w:r>
    </w:p>
    <w:p w14:paraId="7E403C4C" w14:textId="16A83D44" w:rsidR="005C5A31" w:rsidRDefault="005C5A31" w:rsidP="005C5A31">
      <w:pPr>
        <w:pStyle w:val="Heading1"/>
      </w:pPr>
      <w:r>
        <w:t>Summary</w:t>
      </w:r>
    </w:p>
    <w:p w14:paraId="5CBC8435" w14:textId="79712013" w:rsidR="005C5A31" w:rsidRDefault="775B62B8" w:rsidP="0050AC8C">
      <w:r>
        <w:t xml:space="preserve">This position paper </w:t>
      </w:r>
      <w:r w:rsidR="7CE58447">
        <w:t xml:space="preserve">provides a </w:t>
      </w:r>
      <w:r w:rsidR="08EDECAB">
        <w:t xml:space="preserve">broad </w:t>
      </w:r>
      <w:r w:rsidR="7CE58447">
        <w:t>ove</w:t>
      </w:r>
      <w:r w:rsidR="420F2FB9">
        <w:t>r</w:t>
      </w:r>
      <w:r w:rsidR="7CE58447">
        <w:t xml:space="preserve">view </w:t>
      </w:r>
      <w:r w:rsidR="6547A09D">
        <w:t>of</w:t>
      </w:r>
      <w:r w:rsidR="4CD0DEB9">
        <w:t xml:space="preserve"> what </w:t>
      </w:r>
      <w:r w:rsidR="00BB1782">
        <w:t>Learning Analytics</w:t>
      </w:r>
      <w:r w:rsidR="4CD0DEB9">
        <w:t xml:space="preserve"> are and entails, summarises work to date in exploring </w:t>
      </w:r>
      <w:r w:rsidR="6296D2BF">
        <w:t xml:space="preserve">and scoping </w:t>
      </w:r>
      <w:r w:rsidR="4CD0DEB9">
        <w:t xml:space="preserve">the development of </w:t>
      </w:r>
      <w:r w:rsidR="00BB1782">
        <w:t>Learning Analytics</w:t>
      </w:r>
      <w:r w:rsidR="5C9772B8">
        <w:t xml:space="preserve"> policy and practice</w:t>
      </w:r>
      <w:r w:rsidR="0BF276A7">
        <w:t xml:space="preserve"> </w:t>
      </w:r>
      <w:r w:rsidR="165A7504">
        <w:t xml:space="preserve">within the context of the University of the Highlands and Islands, and proposes a </w:t>
      </w:r>
      <w:r w:rsidR="06F3DF14">
        <w:t xml:space="preserve">pragmatic </w:t>
      </w:r>
      <w:r w:rsidR="165A7504">
        <w:t>way forward</w:t>
      </w:r>
      <w:r w:rsidR="6B438C3C">
        <w:t xml:space="preserve"> for the univer</w:t>
      </w:r>
      <w:r w:rsidR="712437ED">
        <w:t>sity in terms of immediate next steps.</w:t>
      </w:r>
    </w:p>
    <w:p w14:paraId="396E0BFB" w14:textId="0D7A693B" w:rsidR="005C5A31" w:rsidRDefault="712437ED" w:rsidP="0050AC8C">
      <w:r>
        <w:t xml:space="preserve">QAEC is being asked to </w:t>
      </w:r>
      <w:r w:rsidR="52CC9A43">
        <w:t>disc</w:t>
      </w:r>
      <w:r w:rsidR="699CD51A">
        <w:t xml:space="preserve">uss this paper and, subject to that discussion, endorse the recommendations herein. </w:t>
      </w:r>
      <w:r w:rsidR="068A449A">
        <w:t>The content of this</w:t>
      </w:r>
      <w:r w:rsidR="0C894E8A">
        <w:t xml:space="preserve"> </w:t>
      </w:r>
      <w:r w:rsidR="068A449A">
        <w:t>paper,</w:t>
      </w:r>
      <w:r w:rsidR="3AF49CA7">
        <w:t xml:space="preserve"> and the work undertaken in preparing it, relate to the QAEC Enhancement Priority </w:t>
      </w:r>
      <w:r w:rsidR="004A111D">
        <w:t xml:space="preserve">currently titled, </w:t>
      </w:r>
      <w:r w:rsidR="3AF49CA7">
        <w:t>‘</w:t>
      </w:r>
      <w:r w:rsidR="197F98A8" w:rsidRPr="0050AC8C">
        <w:t>Using student data for monitoring and evaluation’.</w:t>
      </w:r>
      <w:r w:rsidR="004A111D">
        <w:t xml:space="preserve"> The work outlined and proposed at the end of this paper is intended to move us towards learning analytics practices focused on using student data for ‘feedback and improvement’.</w:t>
      </w:r>
    </w:p>
    <w:p w14:paraId="38983282" w14:textId="731ED1F1" w:rsidR="005C5A31" w:rsidRDefault="16F66565" w:rsidP="005C5A31">
      <w:pPr>
        <w:pStyle w:val="Heading1"/>
      </w:pPr>
      <w:r>
        <w:t>Introduction</w:t>
      </w:r>
    </w:p>
    <w:p w14:paraId="42D9F934" w14:textId="080D9779" w:rsidR="005C5A31" w:rsidRDefault="00C8724A">
      <w:r>
        <w:t>Since 2010 there has been</w:t>
      </w:r>
      <w:r w:rsidR="00D33FD6">
        <w:t xml:space="preserve"> a marked rise in </w:t>
      </w:r>
      <w:r w:rsidR="00E30B25">
        <w:t xml:space="preserve">Educational </w:t>
      </w:r>
      <w:r w:rsidR="00B21566">
        <w:t>D</w:t>
      </w:r>
      <w:r w:rsidR="00E30B25">
        <w:t>ata Mining</w:t>
      </w:r>
      <w:r w:rsidR="00B21566">
        <w:t xml:space="preserve"> (EDM) and </w:t>
      </w:r>
      <w:r w:rsidR="00D33FD6">
        <w:t xml:space="preserve">the use of </w:t>
      </w:r>
      <w:r w:rsidR="00BB1782">
        <w:t>Learning Analytics</w:t>
      </w:r>
      <w:r w:rsidR="00D33FD6">
        <w:t xml:space="preserve"> </w:t>
      </w:r>
      <w:r w:rsidR="00B21566">
        <w:t>to support research and practice in</w:t>
      </w:r>
      <w:r w:rsidR="00D33FD6">
        <w:t xml:space="preserve"> education</w:t>
      </w:r>
      <w:r w:rsidR="004B2E7D">
        <w:t>,</w:t>
      </w:r>
      <w:r w:rsidR="00D33FD6">
        <w:t xml:space="preserve"> as</w:t>
      </w:r>
      <w:r w:rsidR="004B2E7D">
        <w:t xml:space="preserve"> </w:t>
      </w:r>
      <w:r w:rsidR="00D33FD6">
        <w:t>institutions</w:t>
      </w:r>
      <w:r w:rsidR="004B2E7D">
        <w:t xml:space="preserve"> seek to better understand and support student learning</w:t>
      </w:r>
      <w:r w:rsidR="00B21566">
        <w:t>.</w:t>
      </w:r>
      <w:r w:rsidR="004B2E7D">
        <w:t xml:space="preserve"> In addition</w:t>
      </w:r>
      <w:r w:rsidR="00202F4B">
        <w:t xml:space="preserve">, </w:t>
      </w:r>
      <w:r w:rsidR="00D33FD6">
        <w:t>increased scrutiny</w:t>
      </w:r>
      <w:r w:rsidR="00202F4B">
        <w:t xml:space="preserve"> and expectations</w:t>
      </w:r>
      <w:r w:rsidR="00D33FD6">
        <w:t xml:space="preserve"> from funders and government</w:t>
      </w:r>
      <w:r w:rsidR="004B2E7D">
        <w:t xml:space="preserve"> </w:t>
      </w:r>
      <w:r w:rsidR="00202F4B">
        <w:t>has forced</w:t>
      </w:r>
      <w:r w:rsidR="004B2E7D">
        <w:t xml:space="preserve"> institutions to look </w:t>
      </w:r>
      <w:r w:rsidR="00202F4B">
        <w:t xml:space="preserve">more </w:t>
      </w:r>
      <w:r w:rsidR="004B2E7D">
        <w:t>closely at</w:t>
      </w:r>
      <w:r w:rsidR="00D33FD6">
        <w:t xml:space="preserve"> metrics and targets in relation to student success and impact</w:t>
      </w:r>
      <w:r w:rsidR="00B21566">
        <w:t>, promoting a drive for greater efficiency and cost-effectiveness</w:t>
      </w:r>
      <w:r w:rsidR="00D33FD6">
        <w:t xml:space="preserve">. </w:t>
      </w:r>
    </w:p>
    <w:p w14:paraId="25B01B9E" w14:textId="24889251" w:rsidR="005C5A31" w:rsidRDefault="00166E4A">
      <w:r>
        <w:t xml:space="preserve">The </w:t>
      </w:r>
      <w:hyperlink r:id="rId11">
        <w:r w:rsidRPr="0050AC8C">
          <w:rPr>
            <w:rStyle w:val="Hyperlink"/>
          </w:rPr>
          <w:t>2020 Horizon report</w:t>
        </w:r>
      </w:hyperlink>
      <w:r>
        <w:t xml:space="preserve"> highlights ‘analytics for student success’ as one of the top 6 emerging technologies and practices that will have a significant impact on postsecondary teaching and learning, from a list of 130 potential </w:t>
      </w:r>
      <w:r w:rsidR="73AC0A33">
        <w:t>current and emerging technology developments</w:t>
      </w:r>
      <w:r>
        <w:t>.</w:t>
      </w:r>
    </w:p>
    <w:p w14:paraId="308D191A" w14:textId="2554676A" w:rsidR="00B81821" w:rsidRDefault="4460FDB3" w:rsidP="0050AC8C">
      <w:r w:rsidRPr="0050AC8C">
        <w:t xml:space="preserve">Research literature is awash with papers espousing the benefits that can be </w:t>
      </w:r>
      <w:r w:rsidR="7779BDEA" w:rsidRPr="0050AC8C">
        <w:t>realised</w:t>
      </w:r>
      <w:r w:rsidRPr="0050AC8C">
        <w:t xml:space="preserve"> by employing </w:t>
      </w:r>
      <w:r w:rsidR="00BB1782">
        <w:t>Learning Analytics</w:t>
      </w:r>
      <w:r w:rsidRPr="0050AC8C">
        <w:t xml:space="preserve">. </w:t>
      </w:r>
      <w:r w:rsidR="17CA0A42" w:rsidRPr="0050AC8C">
        <w:t>T</w:t>
      </w:r>
      <w:r w:rsidRPr="0050AC8C">
        <w:t>he</w:t>
      </w:r>
      <w:r w:rsidR="10834429" w:rsidRPr="0050AC8C">
        <w:t xml:space="preserve">se fall into </w:t>
      </w:r>
      <w:r w:rsidR="59396AA2" w:rsidRPr="0050AC8C">
        <w:t>four</w:t>
      </w:r>
      <w:r w:rsidR="10834429" w:rsidRPr="0050AC8C">
        <w:t xml:space="preserve"> </w:t>
      </w:r>
      <w:r w:rsidR="000B26AB">
        <w:t>target groups or beneficiaries</w:t>
      </w:r>
      <w:r w:rsidR="10834429" w:rsidRPr="0050AC8C">
        <w:t xml:space="preserve">: students, staff, </w:t>
      </w:r>
      <w:proofErr w:type="gramStart"/>
      <w:r w:rsidR="10834429" w:rsidRPr="0050AC8C">
        <w:t>ins</w:t>
      </w:r>
      <w:r w:rsidR="794B9A3F" w:rsidRPr="0050AC8C">
        <w:t>t</w:t>
      </w:r>
      <w:r w:rsidR="10834429" w:rsidRPr="0050AC8C">
        <w:t>itutio</w:t>
      </w:r>
      <w:r w:rsidR="177EF10A" w:rsidRPr="0050AC8C">
        <w:t>n</w:t>
      </w:r>
      <w:proofErr w:type="gramEnd"/>
      <w:r w:rsidR="7BFD7CBD" w:rsidRPr="0050AC8C">
        <w:t xml:space="preserve"> and researchers</w:t>
      </w:r>
      <w:r w:rsidR="3A5CC780" w:rsidRPr="0050AC8C">
        <w:t xml:space="preserve"> and in general the aim of </w:t>
      </w:r>
      <w:r w:rsidR="00BB1782">
        <w:t>Learning Analytics</w:t>
      </w:r>
      <w:r w:rsidR="3A5CC780" w:rsidRPr="0050AC8C">
        <w:t xml:space="preserve"> is to provide </w:t>
      </w:r>
      <w:r w:rsidR="757ECF48" w:rsidRPr="0050AC8C">
        <w:t>an improved, more effective and efficient</w:t>
      </w:r>
      <w:r w:rsidR="3A5CC780" w:rsidRPr="0050AC8C">
        <w:t xml:space="preserve"> learning experience leading to lower attrition and higher </w:t>
      </w:r>
      <w:r w:rsidR="24972573" w:rsidRPr="0050AC8C">
        <w:t xml:space="preserve">student </w:t>
      </w:r>
      <w:r w:rsidR="3A5CC780" w:rsidRPr="0050AC8C">
        <w:t xml:space="preserve">success. </w:t>
      </w:r>
      <w:r w:rsidR="00BB1782">
        <w:t>Learning Analytics</w:t>
      </w:r>
      <w:r w:rsidR="3A5CC780" w:rsidRPr="0050AC8C">
        <w:t xml:space="preserve"> </w:t>
      </w:r>
      <w:r w:rsidR="6CD67AD3" w:rsidRPr="0050AC8C">
        <w:t>achieve</w:t>
      </w:r>
      <w:r w:rsidR="3A5CC780" w:rsidRPr="0050AC8C">
        <w:t xml:space="preserve"> this by va</w:t>
      </w:r>
      <w:r w:rsidR="6C63B021" w:rsidRPr="0050AC8C">
        <w:t>rious means. For example</w:t>
      </w:r>
      <w:r w:rsidR="5E26F99A" w:rsidRPr="0050AC8C">
        <w:t>,</w:t>
      </w:r>
      <w:r w:rsidR="6C63B021" w:rsidRPr="0050AC8C">
        <w:t xml:space="preserve"> b</w:t>
      </w:r>
      <w:r w:rsidR="4C86390D" w:rsidRPr="0050AC8C">
        <w:t xml:space="preserve">y highlighting </w:t>
      </w:r>
      <w:r w:rsidR="30F1B758" w:rsidRPr="0050AC8C">
        <w:t>areas</w:t>
      </w:r>
      <w:r w:rsidR="02E96F79" w:rsidRPr="0050AC8C">
        <w:t xml:space="preserve">/topics </w:t>
      </w:r>
      <w:r w:rsidR="30F1B758" w:rsidRPr="0050AC8C">
        <w:t xml:space="preserve">where students may be struggling </w:t>
      </w:r>
      <w:r w:rsidR="230605A7" w:rsidRPr="0050AC8C">
        <w:t>analytics</w:t>
      </w:r>
      <w:r w:rsidR="000B26AB">
        <w:t xml:space="preserve"> can be </w:t>
      </w:r>
      <w:proofErr w:type="gramStart"/>
      <w:r w:rsidR="000B26AB">
        <w:t>use</w:t>
      </w:r>
      <w:proofErr w:type="gramEnd"/>
      <w:r w:rsidR="000B26AB">
        <w:t xml:space="preserve"> to validate and evaluate learning materials and teaching strategies </w:t>
      </w:r>
      <w:r w:rsidR="230605A7" w:rsidRPr="0050AC8C">
        <w:t>provid</w:t>
      </w:r>
      <w:r w:rsidR="000B26AB">
        <w:t>ing</w:t>
      </w:r>
      <w:r w:rsidR="230605A7" w:rsidRPr="0050AC8C">
        <w:t xml:space="preserve"> </w:t>
      </w:r>
      <w:r w:rsidR="1074F5CB" w:rsidRPr="0050AC8C">
        <w:t xml:space="preserve">a focus for </w:t>
      </w:r>
      <w:r w:rsidR="4EE33F43" w:rsidRPr="0050AC8C">
        <w:t xml:space="preserve">timely </w:t>
      </w:r>
      <w:r w:rsidR="230605A7" w:rsidRPr="0050AC8C">
        <w:t>c</w:t>
      </w:r>
      <w:r w:rsidR="16EA20DB" w:rsidRPr="0050AC8C">
        <w:t>urriculum improvement</w:t>
      </w:r>
      <w:r w:rsidR="56A6B936" w:rsidRPr="0050AC8C">
        <w:t xml:space="preserve"> and targeted support.</w:t>
      </w:r>
      <w:r w:rsidR="60E27F38" w:rsidRPr="0050AC8C">
        <w:t xml:space="preserve"> </w:t>
      </w:r>
      <w:r w:rsidR="56A6B936" w:rsidRPr="0050AC8C">
        <w:t xml:space="preserve">The use of analytics to </w:t>
      </w:r>
      <w:r w:rsidR="396B3752" w:rsidRPr="0050AC8C">
        <w:t xml:space="preserve">predict student success </w:t>
      </w:r>
      <w:r w:rsidR="286148C1" w:rsidRPr="0050AC8C">
        <w:t xml:space="preserve">through the identification and use of optimum pathways </w:t>
      </w:r>
      <w:r w:rsidR="6E23B55A" w:rsidRPr="0050AC8C">
        <w:t xml:space="preserve">can provide an opportunity for </w:t>
      </w:r>
      <w:r w:rsidR="396B3752" w:rsidRPr="0050AC8C">
        <w:t>early intervention</w:t>
      </w:r>
      <w:r w:rsidR="3E3CAAAD" w:rsidRPr="0050AC8C">
        <w:t>, personalised learning experiences and real time feedback.</w:t>
      </w:r>
      <w:r w:rsidR="1814124B" w:rsidRPr="0050AC8C">
        <w:t xml:space="preserve"> More broadly analytics can be used to identify trends and best practice across the entire institution. This can enable forward planning</w:t>
      </w:r>
      <w:r w:rsidR="6E961E2C" w:rsidRPr="0050AC8C">
        <w:t xml:space="preserve"> in the provision of learning</w:t>
      </w:r>
      <w:r w:rsidR="0AC7C467" w:rsidRPr="0050AC8C">
        <w:t xml:space="preserve"> and highli</w:t>
      </w:r>
      <w:r w:rsidR="2CC0ECF3" w:rsidRPr="0050AC8C">
        <w:t>ght</w:t>
      </w:r>
      <w:r w:rsidR="0AC7C467" w:rsidRPr="0050AC8C">
        <w:t xml:space="preserve"> areas for </w:t>
      </w:r>
      <w:r w:rsidR="2A295B8D" w:rsidRPr="0050AC8C">
        <w:t xml:space="preserve">professional </w:t>
      </w:r>
      <w:r w:rsidR="0AC7C467" w:rsidRPr="0050AC8C">
        <w:t>develo</w:t>
      </w:r>
      <w:r w:rsidR="6A9FFBD3" w:rsidRPr="0050AC8C">
        <w:t>p</w:t>
      </w:r>
      <w:r w:rsidR="0AC7C467" w:rsidRPr="0050AC8C">
        <w:t>ment</w:t>
      </w:r>
      <w:r w:rsidR="73096EC8" w:rsidRPr="0050AC8C">
        <w:t xml:space="preserve"> of staff leading to improved instructor performance</w:t>
      </w:r>
      <w:r w:rsidR="6E961E2C" w:rsidRPr="0050AC8C">
        <w:t>.</w:t>
      </w:r>
      <w:r w:rsidR="4C7D296C" w:rsidRPr="0050AC8C">
        <w:t xml:space="preserve"> Researchers can use data from </w:t>
      </w:r>
      <w:r w:rsidR="00BB1782">
        <w:t>Learning Analytics</w:t>
      </w:r>
      <w:r w:rsidR="4C7D296C" w:rsidRPr="0050AC8C">
        <w:t xml:space="preserve"> to identify </w:t>
      </w:r>
      <w:r w:rsidR="08DF9208" w:rsidRPr="0050AC8C">
        <w:t xml:space="preserve">emerging trends in education and </w:t>
      </w:r>
      <w:r w:rsidR="4C7D296C" w:rsidRPr="0050AC8C">
        <w:t>market opportunity.</w:t>
      </w:r>
      <w:r w:rsidR="1F285E30" w:rsidRPr="0050AC8C">
        <w:t xml:space="preserve"> </w:t>
      </w:r>
      <w:r w:rsidR="00BB1782">
        <w:t>Learning Analytics</w:t>
      </w:r>
      <w:r w:rsidR="4C7D296C" w:rsidRPr="0050AC8C">
        <w:t xml:space="preserve"> can also inform </w:t>
      </w:r>
      <w:r w:rsidR="5804B3BC" w:rsidRPr="0050AC8C">
        <w:t>institutional</w:t>
      </w:r>
      <w:r w:rsidR="4C7D296C" w:rsidRPr="0050AC8C">
        <w:t xml:space="preserve"> performance</w:t>
      </w:r>
      <w:r w:rsidR="10ACAB40" w:rsidRPr="0050AC8C">
        <w:t xml:space="preserve"> metrics required for funding bodies such as the Scottish Funding Council.</w:t>
      </w:r>
    </w:p>
    <w:p w14:paraId="60A15F09" w14:textId="2A7ED7C0" w:rsidR="00B81821" w:rsidRDefault="00B21566" w:rsidP="00B05967">
      <w:pPr>
        <w:rPr>
          <w:color w:val="FF0000"/>
        </w:rPr>
      </w:pPr>
      <w:r>
        <w:t>Despite</w:t>
      </w:r>
      <w:r w:rsidR="001500CF">
        <w:t xml:space="preserve"> the promise </w:t>
      </w:r>
      <w:r w:rsidR="00BB1782">
        <w:t>Learning Analytics</w:t>
      </w:r>
      <w:r w:rsidR="001500CF">
        <w:t xml:space="preserve"> hold</w:t>
      </w:r>
      <w:r>
        <w:t>,</w:t>
      </w:r>
      <w:r w:rsidR="001500CF">
        <w:t xml:space="preserve"> there are fears that uptake has slowed, and in some cases been reversed due to concerns about ethics, data privacy, </w:t>
      </w:r>
      <w:proofErr w:type="gramStart"/>
      <w:r w:rsidR="001500CF">
        <w:t>surveillance</w:t>
      </w:r>
      <w:proofErr w:type="gramEnd"/>
      <w:r w:rsidR="001500CF">
        <w:t xml:space="preserve"> and the handling of personal data</w:t>
      </w:r>
      <w:r w:rsidR="003C71FF">
        <w:t>, not only of students but also of staff</w:t>
      </w:r>
      <w:r w:rsidR="001500CF">
        <w:t xml:space="preserve"> (</w:t>
      </w:r>
      <w:proofErr w:type="spellStart"/>
      <w:r w:rsidR="001500CF">
        <w:t>Drachsler</w:t>
      </w:r>
      <w:proofErr w:type="spellEnd"/>
      <w:r w:rsidR="001500CF">
        <w:t xml:space="preserve"> and Grel</w:t>
      </w:r>
      <w:r w:rsidR="001500CF" w:rsidRPr="00A76391">
        <w:t>ler, 2016)</w:t>
      </w:r>
      <w:r w:rsidR="00FE7E4C">
        <w:t xml:space="preserve"> (</w:t>
      </w:r>
      <w:proofErr w:type="spellStart"/>
      <w:r w:rsidR="00FE7E4C">
        <w:t>Sclater</w:t>
      </w:r>
      <w:proofErr w:type="spellEnd"/>
      <w:r w:rsidR="00FE7E4C">
        <w:t>, 2016)</w:t>
      </w:r>
      <w:r w:rsidR="001500CF" w:rsidRPr="00A76391">
        <w:t>.</w:t>
      </w:r>
      <w:r w:rsidR="00B81821">
        <w:t xml:space="preserve"> </w:t>
      </w:r>
    </w:p>
    <w:p w14:paraId="226B30BF" w14:textId="1E956C35" w:rsidR="001500CF" w:rsidRDefault="00B81821" w:rsidP="00B81821">
      <w:pPr>
        <w:pStyle w:val="Quote"/>
      </w:pPr>
      <w:r>
        <w:t xml:space="preserve">“The ensuing hiatus means learners are being denied the potential benefits of </w:t>
      </w:r>
      <w:r w:rsidR="00BB1782">
        <w:t>learning analytics</w:t>
      </w:r>
      <w:r>
        <w:t>.” (</w:t>
      </w:r>
      <w:proofErr w:type="spellStart"/>
      <w:r>
        <w:t>Sclater</w:t>
      </w:r>
      <w:proofErr w:type="spellEnd"/>
      <w:r>
        <w:t>, 2016)</w:t>
      </w:r>
    </w:p>
    <w:p w14:paraId="7E8F114E" w14:textId="69D1DA52" w:rsidR="00FE7E4C" w:rsidRPr="00A76391" w:rsidRDefault="00B81821" w:rsidP="00B05967">
      <w:r>
        <w:lastRenderedPageBreak/>
        <w:t>It should be noted that m</w:t>
      </w:r>
      <w:r w:rsidR="00FE7E4C">
        <w:t>any institutions</w:t>
      </w:r>
      <w:r w:rsidR="00D679BD">
        <w:t xml:space="preserve"> (</w:t>
      </w:r>
      <w:r w:rsidR="008B73C0">
        <w:t xml:space="preserve">Open University UK, </w:t>
      </w:r>
      <w:r w:rsidR="00D679BD">
        <w:t xml:space="preserve">University of </w:t>
      </w:r>
      <w:r w:rsidR="0050299D">
        <w:t>E</w:t>
      </w:r>
      <w:r w:rsidR="00D679BD">
        <w:t>dinburgh,</w:t>
      </w:r>
      <w:r w:rsidR="0050299D">
        <w:t xml:space="preserve"> Nottingham Trent, </w:t>
      </w:r>
      <w:r w:rsidR="008B73C0">
        <w:t xml:space="preserve">University of Brighton, </w:t>
      </w:r>
      <w:r w:rsidR="00683212">
        <w:t xml:space="preserve">City </w:t>
      </w:r>
      <w:r w:rsidR="008B73C0">
        <w:t>University of London</w:t>
      </w:r>
      <w:r w:rsidR="00683212">
        <w:t>)</w:t>
      </w:r>
      <w:r w:rsidR="00D679BD">
        <w:t xml:space="preserve"> </w:t>
      </w:r>
      <w:r w:rsidR="00FE7E4C">
        <w:t xml:space="preserve">have successfully implemented </w:t>
      </w:r>
      <w:r w:rsidR="00BB1782">
        <w:t>Learning Analytics</w:t>
      </w:r>
      <w:r w:rsidR="00683212">
        <w:t xml:space="preserve"> and according to</w:t>
      </w:r>
      <w:r w:rsidR="00BB1782">
        <w:t xml:space="preserve"> </w:t>
      </w:r>
      <w:r w:rsidR="00683212">
        <w:t>much of the</w:t>
      </w:r>
      <w:r>
        <w:t xml:space="preserve"> </w:t>
      </w:r>
      <w:r w:rsidR="00FE7E4C">
        <w:t>existing research</w:t>
      </w:r>
      <w:r w:rsidR="00683212">
        <w:t>,</w:t>
      </w:r>
      <w:r w:rsidR="00FE7E4C">
        <w:t xml:space="preserve"> the key to this success is early stakeholder engagement</w:t>
      </w:r>
      <w:r w:rsidR="136520A5">
        <w:t xml:space="preserve"> and transparency</w:t>
      </w:r>
      <w:r w:rsidR="005E7EA1">
        <w:t xml:space="preserve">. </w:t>
      </w:r>
      <w:proofErr w:type="spellStart"/>
      <w:r w:rsidR="005E7EA1">
        <w:t>Rientes</w:t>
      </w:r>
      <w:proofErr w:type="spellEnd"/>
      <w:r w:rsidR="005E7EA1">
        <w:t xml:space="preserve"> (2020), presenting on the success of </w:t>
      </w:r>
      <w:r w:rsidR="00BB1782">
        <w:t>Learning Analytics</w:t>
      </w:r>
      <w:r w:rsidR="005E7EA1">
        <w:t xml:space="preserve"> in the UK Open University highlights the need for digital skills, the use of evidence to foster buy-in and a strong digital skills programme</w:t>
      </w:r>
      <w:r w:rsidR="002E7AAB">
        <w:t>, wrapped in a sound ethical framework</w:t>
      </w:r>
      <w:r w:rsidR="005E7EA1">
        <w:t>.</w:t>
      </w:r>
    </w:p>
    <w:p w14:paraId="53B74390" w14:textId="3689B4AD" w:rsidR="007A293F" w:rsidRPr="00803A65" w:rsidRDefault="00A76391" w:rsidP="00B05967">
      <w:pPr>
        <w:rPr>
          <w:rFonts w:eastAsiaTheme="minorEastAsia"/>
        </w:rPr>
      </w:pPr>
      <w:r w:rsidRPr="00A76391">
        <w:t xml:space="preserve">In context of the </w:t>
      </w:r>
      <w:r w:rsidR="00683212">
        <w:t xml:space="preserve">University of the Highlands and Islands’ </w:t>
      </w:r>
      <w:r w:rsidRPr="00A76391">
        <w:t>mission ‘</w:t>
      </w:r>
      <w:r>
        <w:t>T</w:t>
      </w:r>
      <w:r w:rsidRPr="00A76391">
        <w:t xml:space="preserve">o have a transformational impact on the prospects of our region, </w:t>
      </w:r>
      <w:proofErr w:type="gramStart"/>
      <w:r w:rsidRPr="00A76391">
        <w:t>it’s</w:t>
      </w:r>
      <w:proofErr w:type="gramEnd"/>
      <w:r w:rsidRPr="00A76391">
        <w:t xml:space="preserve"> economy, it’s people and its communities’, </w:t>
      </w:r>
      <w:r w:rsidR="00803A65">
        <w:t xml:space="preserve">and </w:t>
      </w:r>
      <w:r w:rsidR="6DC1A914">
        <w:t>the</w:t>
      </w:r>
      <w:r w:rsidR="00803A65">
        <w:t xml:space="preserve"> values of the current Learning and </w:t>
      </w:r>
      <w:r w:rsidR="00B81821">
        <w:t>T</w:t>
      </w:r>
      <w:r w:rsidR="00803A65">
        <w:t xml:space="preserve">eaching </w:t>
      </w:r>
      <w:r w:rsidR="00B81821">
        <w:t>E</w:t>
      </w:r>
      <w:r w:rsidR="00803A65">
        <w:t xml:space="preserve">nhancement </w:t>
      </w:r>
      <w:r w:rsidR="00B81821">
        <w:t>S</w:t>
      </w:r>
      <w:r w:rsidR="00803A65">
        <w:t xml:space="preserve">trategy, </w:t>
      </w:r>
      <w:r w:rsidRPr="00A76391">
        <w:t xml:space="preserve">the introduction of </w:t>
      </w:r>
      <w:r w:rsidR="00BB1782">
        <w:t>Learning Analytics</w:t>
      </w:r>
      <w:r w:rsidRPr="00A76391">
        <w:t xml:space="preserve"> has</w:t>
      </w:r>
      <w:r>
        <w:t xml:space="preserve"> the potential to make a significant impact</w:t>
      </w:r>
      <w:r w:rsidR="00683212">
        <w:t xml:space="preserve"> on student experience, success</w:t>
      </w:r>
      <w:r w:rsidR="000B26AB">
        <w:t>,</w:t>
      </w:r>
      <w:r w:rsidR="00683212">
        <w:t xml:space="preserve"> retention</w:t>
      </w:r>
      <w:r w:rsidR="000B26AB">
        <w:t xml:space="preserve"> and student ownership</w:t>
      </w:r>
      <w:r w:rsidR="00B36C88">
        <w:t>.</w:t>
      </w:r>
      <w:r w:rsidR="4D8C4886">
        <w:t xml:space="preserve"> It aligns directly with our </w:t>
      </w:r>
      <w:r w:rsidR="3E1143D4">
        <w:t>L</w:t>
      </w:r>
      <w:r w:rsidR="4D8C4886">
        <w:t xml:space="preserve">earning and </w:t>
      </w:r>
      <w:r w:rsidR="784BE100">
        <w:t>T</w:t>
      </w:r>
      <w:r w:rsidR="4D8C4886">
        <w:t xml:space="preserve">eaching </w:t>
      </w:r>
      <w:r w:rsidR="65752F24">
        <w:t>E</w:t>
      </w:r>
      <w:r w:rsidR="4D8C4886">
        <w:t xml:space="preserve">nhancement </w:t>
      </w:r>
      <w:r w:rsidR="151C59AA">
        <w:t>V</w:t>
      </w:r>
      <w:r w:rsidR="4D8C4886">
        <w:t xml:space="preserve">alues </w:t>
      </w:r>
      <w:r w:rsidR="2AFCE562">
        <w:t>concerned with ‘</w:t>
      </w:r>
      <w:r w:rsidR="51B7980F">
        <w:t>Evidence-based Educational Practice’, ‘Supporting the Learner a</w:t>
      </w:r>
      <w:r w:rsidR="2B57405F">
        <w:t xml:space="preserve">s an Individual’ and ‘Reflective Practice and Continuous Improvement’. The development of our </w:t>
      </w:r>
      <w:r w:rsidR="00BB1782">
        <w:t>Learning Analytics</w:t>
      </w:r>
      <w:r w:rsidR="73DF8F4D">
        <w:t xml:space="preserve"> practices also aligns well with other uses of student generated data and feedback</w:t>
      </w:r>
      <w:r w:rsidR="709E028A">
        <w:t xml:space="preserve"> to enhance the learning and teaching experience, for example</w:t>
      </w:r>
      <w:r w:rsidR="73DF8F4D">
        <w:t xml:space="preserve"> </w:t>
      </w:r>
      <w:r w:rsidR="6A54514E">
        <w:t xml:space="preserve">the BRAG </w:t>
      </w:r>
      <w:r w:rsidR="000B26AB">
        <w:t xml:space="preserve">(Blue, Red, Amber, Green) </w:t>
      </w:r>
      <w:r w:rsidR="6A54514E">
        <w:t xml:space="preserve">system, </w:t>
      </w:r>
      <w:r w:rsidR="237F2F23">
        <w:t xml:space="preserve">module surveys, </w:t>
      </w:r>
      <w:r w:rsidR="3A64B413">
        <w:t xml:space="preserve">National Student Survey and </w:t>
      </w:r>
      <w:r w:rsidR="3A64B413" w:rsidRPr="0050AC8C">
        <w:rPr>
          <w:rFonts w:eastAsiaTheme="minorEastAsia"/>
        </w:rPr>
        <w:t>Student Satisfaction and Engagement Survey</w:t>
      </w:r>
      <w:r w:rsidR="2527AD5A" w:rsidRPr="0050AC8C">
        <w:rPr>
          <w:rFonts w:eastAsiaTheme="minorEastAsia"/>
        </w:rPr>
        <w:t>.</w:t>
      </w:r>
    </w:p>
    <w:p w14:paraId="6091A042" w14:textId="3D3BEBF7" w:rsidR="00B05967" w:rsidRDefault="2527AD5A">
      <w:r>
        <w:t xml:space="preserve">Considerable scoping work with respect to </w:t>
      </w:r>
      <w:r w:rsidR="00BB1782">
        <w:t>Learning Analytics</w:t>
      </w:r>
      <w:r>
        <w:t xml:space="preserve"> and their development in the context of the university has been undertaken to date</w:t>
      </w:r>
      <w:r w:rsidR="26F778D3">
        <w:t xml:space="preserve">. </w:t>
      </w:r>
      <w:r w:rsidR="00B05967">
        <w:t xml:space="preserve">This position paper </w:t>
      </w:r>
      <w:r w:rsidR="5ADDF76D">
        <w:t xml:space="preserve">is informed by and </w:t>
      </w:r>
      <w:r w:rsidR="00B05967">
        <w:t xml:space="preserve">builds </w:t>
      </w:r>
      <w:r w:rsidR="6551205E">
        <w:t>up</w:t>
      </w:r>
      <w:r w:rsidR="00B05967">
        <w:t>on th</w:t>
      </w:r>
      <w:r w:rsidR="4258B2DF">
        <w:t>at work, which includes an initial benchma</w:t>
      </w:r>
      <w:r w:rsidR="3EA2FF74">
        <w:t>rking and stakeholder perspectives report</w:t>
      </w:r>
      <w:r w:rsidR="00B05967">
        <w:t xml:space="preserve"> by </w:t>
      </w:r>
      <w:proofErr w:type="spellStart"/>
      <w:r w:rsidR="00B05967">
        <w:t>Schlappy</w:t>
      </w:r>
      <w:proofErr w:type="spellEnd"/>
      <w:r w:rsidR="00B05967">
        <w:t xml:space="preserve"> (2016), </w:t>
      </w:r>
      <w:r w:rsidR="2D21B261">
        <w:t>which was jointly sponsored by the LIS and LTA, an Erasmus+ exc</w:t>
      </w:r>
      <w:r w:rsidR="08EDA885">
        <w:t xml:space="preserve">hange to the University of Vienna undertaken by </w:t>
      </w:r>
      <w:r w:rsidR="00B05967">
        <w:t>Smith and Rennie (2018)</w:t>
      </w:r>
      <w:r w:rsidR="2D3D9AEC">
        <w:t>,</w:t>
      </w:r>
      <w:r w:rsidR="00B05967">
        <w:t xml:space="preserve"> and </w:t>
      </w:r>
      <w:r w:rsidR="06422934">
        <w:t xml:space="preserve">a paper for QAA Scotland by </w:t>
      </w:r>
      <w:r w:rsidR="00B05967">
        <w:t>Smyth (2018)</w:t>
      </w:r>
      <w:r w:rsidR="0046754E">
        <w:t xml:space="preserve"> </w:t>
      </w:r>
      <w:r w:rsidR="0E665EC5">
        <w:t>which relates directly to the exploratory work around analyt</w:t>
      </w:r>
      <w:r w:rsidR="4239AA6D">
        <w:t>ics</w:t>
      </w:r>
      <w:r w:rsidR="0E665EC5">
        <w:t xml:space="preserve"> and </w:t>
      </w:r>
      <w:r w:rsidR="53C26DFB">
        <w:t xml:space="preserve">student </w:t>
      </w:r>
      <w:r w:rsidR="0E665EC5">
        <w:t>engagement indicators</w:t>
      </w:r>
      <w:r w:rsidR="271BCEF7">
        <w:t xml:space="preserve"> initiated by QA</w:t>
      </w:r>
      <w:r w:rsidR="497AF977">
        <w:t xml:space="preserve">EC. </w:t>
      </w:r>
    </w:p>
    <w:p w14:paraId="4235899A" w14:textId="074B0DB7" w:rsidR="00B05967" w:rsidRDefault="497AF977">
      <w:r>
        <w:t xml:space="preserve">This paper </w:t>
      </w:r>
      <w:r w:rsidR="0046754E">
        <w:t>seeks to</w:t>
      </w:r>
      <w:r w:rsidR="00B05967">
        <w:t xml:space="preserve"> </w:t>
      </w:r>
      <w:r>
        <w:t xml:space="preserve">summarise and extend our work to date by </w:t>
      </w:r>
      <w:r w:rsidR="00B05967">
        <w:t>lay</w:t>
      </w:r>
      <w:r w:rsidR="54C69C7A">
        <w:t>ing</w:t>
      </w:r>
      <w:r w:rsidR="00B05967">
        <w:t xml:space="preserve"> out the current state of </w:t>
      </w:r>
      <w:r w:rsidR="00BB1782">
        <w:t>Learning Analytics</w:t>
      </w:r>
      <w:r w:rsidR="00B05967">
        <w:t xml:space="preserve"> in </w:t>
      </w:r>
      <w:r w:rsidR="00B419E0">
        <w:t>education</w:t>
      </w:r>
      <w:r w:rsidR="00B36C88">
        <w:t xml:space="preserve"> and in the university</w:t>
      </w:r>
      <w:r w:rsidR="00B05967">
        <w:t xml:space="preserve">, with a particular </w:t>
      </w:r>
      <w:r w:rsidR="5D7052AF">
        <w:t xml:space="preserve">forward </w:t>
      </w:r>
      <w:r w:rsidR="00B05967">
        <w:t xml:space="preserve">focus on predictive analytics. The paper will look at current practices, benefits, </w:t>
      </w:r>
      <w:proofErr w:type="gramStart"/>
      <w:r w:rsidR="00B05967">
        <w:t>challenges</w:t>
      </w:r>
      <w:proofErr w:type="gramEnd"/>
      <w:r w:rsidR="00B05967">
        <w:t xml:space="preserve"> and considerations. It will conclude with </w:t>
      </w:r>
      <w:r w:rsidR="5AEDA87B">
        <w:t xml:space="preserve">a focused set of practical </w:t>
      </w:r>
      <w:r w:rsidR="00B05967">
        <w:t>recommendatio</w:t>
      </w:r>
      <w:r w:rsidR="00B419E0">
        <w:t>ns</w:t>
      </w:r>
      <w:r w:rsidR="2E535EDD">
        <w:t xml:space="preserve"> for immediate next steps</w:t>
      </w:r>
      <w:r w:rsidR="00B05967">
        <w:t>.</w:t>
      </w:r>
    </w:p>
    <w:p w14:paraId="56400F10" w14:textId="457A22EE" w:rsidR="00B05967" w:rsidRDefault="0039578A" w:rsidP="000D2261">
      <w:pPr>
        <w:pStyle w:val="Heading1"/>
      </w:pPr>
      <w:r w:rsidRPr="00F24F16">
        <w:t xml:space="preserve">What is </w:t>
      </w:r>
      <w:r w:rsidR="00BB1782">
        <w:t>Learning Analytics</w:t>
      </w:r>
      <w:r w:rsidRPr="00F24F16">
        <w:t>?</w:t>
      </w:r>
    </w:p>
    <w:p w14:paraId="49CEE1DF" w14:textId="6449980B" w:rsidR="003165DE" w:rsidRDefault="003165DE" w:rsidP="003165DE">
      <w:r>
        <w:t xml:space="preserve">As with many terms, </w:t>
      </w:r>
      <w:r w:rsidR="00BB1782">
        <w:t>Learning Analytics</w:t>
      </w:r>
      <w:r>
        <w:t xml:space="preserve"> suffers from multiple definitions, however</w:t>
      </w:r>
      <w:r w:rsidR="00A366AE">
        <w:t>,</w:t>
      </w:r>
      <w:r>
        <w:t xml:space="preserve"> th</w:t>
      </w:r>
      <w:r w:rsidR="000D2261">
        <w:t>is</w:t>
      </w:r>
      <w:r>
        <w:t xml:space="preserve"> definition from the Society for </w:t>
      </w:r>
      <w:r w:rsidR="00BB1782">
        <w:t>Learning Analytics</w:t>
      </w:r>
      <w:r>
        <w:t xml:space="preserve"> Research (SOLAR)</w:t>
      </w:r>
      <w:r>
        <w:rPr>
          <w:rStyle w:val="EndnoteReference"/>
        </w:rPr>
        <w:endnoteReference w:id="2"/>
      </w:r>
      <w:r>
        <w:rPr>
          <w:rStyle w:val="FootnoteReference"/>
        </w:rPr>
        <w:footnoteReference w:id="2"/>
      </w:r>
      <w:r>
        <w:t xml:space="preserve"> is widely </w:t>
      </w:r>
      <w:r w:rsidR="00683212">
        <w:t xml:space="preserve">recognised and </w:t>
      </w:r>
      <w:r w:rsidR="00B36C88">
        <w:t>quoted</w:t>
      </w:r>
      <w:r w:rsidR="007A293F">
        <w:t>:</w:t>
      </w:r>
    </w:p>
    <w:p w14:paraId="20BC0F91" w14:textId="77777777" w:rsidR="003165DE" w:rsidRPr="003165DE" w:rsidRDefault="003165DE" w:rsidP="003165DE">
      <w:pPr>
        <w:pStyle w:val="Quote"/>
      </w:pPr>
      <w:r w:rsidRPr="005F7673">
        <w:t>“the measurement,</w:t>
      </w:r>
      <w:r>
        <w:t xml:space="preserve"> </w:t>
      </w:r>
      <w:r w:rsidRPr="005F7673">
        <w:t>collection, analysis, and reporting of data about learners and</w:t>
      </w:r>
      <w:r>
        <w:t xml:space="preserve"> </w:t>
      </w:r>
      <w:r w:rsidRPr="005F7673">
        <w:t>their contexts, for purpos</w:t>
      </w:r>
      <w:r>
        <w:t>es of understanding and optimis</w:t>
      </w:r>
      <w:r w:rsidRPr="005F7673">
        <w:t>ing learning and the environments in which it occurs.”</w:t>
      </w:r>
    </w:p>
    <w:p w14:paraId="51A6036D" w14:textId="1270913A" w:rsidR="007A293F" w:rsidRDefault="00BB1782" w:rsidP="007A293F">
      <w:r>
        <w:t>Learning Analytics</w:t>
      </w:r>
      <w:r w:rsidR="00B36C88">
        <w:t xml:space="preserve"> </w:t>
      </w:r>
      <w:r w:rsidR="00A366AE">
        <w:t xml:space="preserve">can be </w:t>
      </w:r>
      <w:r w:rsidR="00B36C88">
        <w:t>divided into 4 areas:</w:t>
      </w:r>
    </w:p>
    <w:p w14:paraId="68DE43D0" w14:textId="7C9558CB" w:rsidR="007A293F" w:rsidRDefault="007A293F" w:rsidP="007A293F">
      <w:pPr>
        <w:pStyle w:val="ListParagraph"/>
        <w:numPr>
          <w:ilvl w:val="0"/>
          <w:numId w:val="1"/>
        </w:numPr>
      </w:pPr>
      <w:r>
        <w:t>Descriptive analytics – looking to the past</w:t>
      </w:r>
      <w:r w:rsidR="00683212">
        <w:t xml:space="preserve"> and asking</w:t>
      </w:r>
      <w:r>
        <w:t>, what happened</w:t>
      </w:r>
      <w:r w:rsidR="00683212">
        <w:t>?</w:t>
      </w:r>
      <w:r w:rsidR="000B26AB">
        <w:t xml:space="preserve"> </w:t>
      </w:r>
      <w:proofErr w:type="gramStart"/>
      <w:r w:rsidR="000B26AB">
        <w:t>e.g.</w:t>
      </w:r>
      <w:proofErr w:type="gramEnd"/>
      <w:r w:rsidR="000B26AB">
        <w:t xml:space="preserve"> for reporting purposes (pass/fail)</w:t>
      </w:r>
    </w:p>
    <w:p w14:paraId="31DC6CE3" w14:textId="27D3AAC0" w:rsidR="007A293F" w:rsidRDefault="007A293F" w:rsidP="007A293F">
      <w:pPr>
        <w:pStyle w:val="ListParagraph"/>
        <w:numPr>
          <w:ilvl w:val="0"/>
          <w:numId w:val="1"/>
        </w:numPr>
      </w:pPr>
      <w:r>
        <w:t xml:space="preserve">Diagnostic analytics – </w:t>
      </w:r>
      <w:r w:rsidR="00AE4A75">
        <w:t>l</w:t>
      </w:r>
      <w:r w:rsidR="00A366AE">
        <w:t xml:space="preserve">ooking to the past and </w:t>
      </w:r>
      <w:r>
        <w:t>understanding why something happened based on an analysis of descriptive anal</w:t>
      </w:r>
      <w:r w:rsidR="00A366AE">
        <w:t>ytic data</w:t>
      </w:r>
      <w:r w:rsidR="000B26AB">
        <w:t xml:space="preserve">. </w:t>
      </w:r>
      <w:r w:rsidR="00C04BF8">
        <w:t>Provides actionable data and g</w:t>
      </w:r>
      <w:r w:rsidR="000B26AB">
        <w:t>enerally results in an intervention</w:t>
      </w:r>
    </w:p>
    <w:p w14:paraId="704A10A3" w14:textId="03970683" w:rsidR="007A293F" w:rsidRDefault="007A293F" w:rsidP="007A293F">
      <w:pPr>
        <w:pStyle w:val="ListParagraph"/>
        <w:numPr>
          <w:ilvl w:val="0"/>
          <w:numId w:val="1"/>
        </w:numPr>
      </w:pPr>
      <w:r>
        <w:lastRenderedPageBreak/>
        <w:t xml:space="preserve">Predictive analytics – </w:t>
      </w:r>
      <w:r w:rsidR="00AE4A75">
        <w:t>looking forward and trying to understand</w:t>
      </w:r>
      <w:r>
        <w:t xml:space="preserve"> what </w:t>
      </w:r>
      <w:r w:rsidR="00C04BF8">
        <w:t>is</w:t>
      </w:r>
      <w:r>
        <w:t xml:space="preserve"> </w:t>
      </w:r>
      <w:r w:rsidR="00AE4A75">
        <w:t>likely</w:t>
      </w:r>
      <w:r w:rsidR="00C04BF8">
        <w:t xml:space="preserve"> to</w:t>
      </w:r>
      <w:r w:rsidR="00AE4A75">
        <w:t xml:space="preserve"> </w:t>
      </w:r>
      <w:r>
        <w:t>happen, based on historical data</w:t>
      </w:r>
      <w:r w:rsidR="00AE4A75">
        <w:t xml:space="preserve"> and </w:t>
      </w:r>
      <w:r>
        <w:t>past performance</w:t>
      </w:r>
      <w:r w:rsidR="00C04BF8">
        <w:t>. Requires human interpretation and intervention</w:t>
      </w:r>
    </w:p>
    <w:p w14:paraId="646D24B0" w14:textId="6354ACF9" w:rsidR="007A293F" w:rsidRDefault="007A293F" w:rsidP="007A293F">
      <w:pPr>
        <w:pStyle w:val="ListParagraph"/>
        <w:numPr>
          <w:ilvl w:val="0"/>
          <w:numId w:val="1"/>
        </w:numPr>
      </w:pPr>
      <w:r>
        <w:t xml:space="preserve">Prescriptive analytics – </w:t>
      </w:r>
      <w:r w:rsidR="00AE4A75">
        <w:t xml:space="preserve">looking forward and </w:t>
      </w:r>
      <w:r>
        <w:t>recommending a course of action based on an analysis of predictive analytics</w:t>
      </w:r>
      <w:r w:rsidR="00C04BF8">
        <w:t xml:space="preserve">. Can leads to systemic changes </w:t>
      </w:r>
      <w:proofErr w:type="gramStart"/>
      <w:r w:rsidR="00C04BF8">
        <w:t>e.g.</w:t>
      </w:r>
      <w:proofErr w:type="gramEnd"/>
      <w:r w:rsidR="00C04BF8">
        <w:t xml:space="preserve"> in methods, syllabuses or even courses</w:t>
      </w:r>
    </w:p>
    <w:p w14:paraId="2B1DB257" w14:textId="635BF776" w:rsidR="00FD66F1" w:rsidRDefault="7C81CAB7" w:rsidP="001A06F0">
      <w:r>
        <w:t xml:space="preserve">While the broad categories above are widely accepted, there are important emerging areas of </w:t>
      </w:r>
      <w:r w:rsidR="00BB1782">
        <w:t>Learning Analytics</w:t>
      </w:r>
      <w:r>
        <w:t xml:space="preserve"> practice that are focused </w:t>
      </w:r>
      <w:r w:rsidR="65765C7B">
        <w:t xml:space="preserve">more directly on teaching and the curriculum, for example concerned with </w:t>
      </w:r>
      <w:r w:rsidR="6D97A6AC">
        <w:t xml:space="preserve">the nature and spread of formal assessment activities across concurrent modules and time periods </w:t>
      </w:r>
      <w:proofErr w:type="gramStart"/>
      <w:r w:rsidR="6D97A6AC">
        <w:t>so as to</w:t>
      </w:r>
      <w:proofErr w:type="gramEnd"/>
      <w:r w:rsidR="6D97A6AC">
        <w:t xml:space="preserve"> identify potential pressure points for stude</w:t>
      </w:r>
      <w:r w:rsidR="22ED05D7">
        <w:t>nts in their engagement (and ability to engage effectively) in their formal learning and activ</w:t>
      </w:r>
      <w:r w:rsidR="50D811F6">
        <w:t>i</w:t>
      </w:r>
      <w:r w:rsidR="22ED05D7">
        <w:t>ties.</w:t>
      </w:r>
    </w:p>
    <w:p w14:paraId="672EC8E7" w14:textId="71C1DB58" w:rsidR="00BB1782" w:rsidRDefault="5F193E0D" w:rsidP="001A06F0">
      <w:r>
        <w:t>A</w:t>
      </w:r>
      <w:r w:rsidR="4718B128">
        <w:t>s an institution</w:t>
      </w:r>
      <w:r w:rsidR="00C04BF8">
        <w:t>,</w:t>
      </w:r>
      <w:r w:rsidR="2D8F61D8">
        <w:t xml:space="preserve"> </w:t>
      </w:r>
      <w:r w:rsidR="6B3BE610">
        <w:t>the university</w:t>
      </w:r>
      <w:r w:rsidR="2D8F61D8">
        <w:t xml:space="preserve"> is</w:t>
      </w:r>
      <w:r w:rsidR="4718B128">
        <w:t xml:space="preserve"> striving towards the</w:t>
      </w:r>
      <w:r w:rsidR="00BB1782">
        <w:t xml:space="preserve"> linking </w:t>
      </w:r>
      <w:r w:rsidR="372C9DED">
        <w:t>of student</w:t>
      </w:r>
      <w:r w:rsidR="00BB1782">
        <w:t xml:space="preserve"> engagement</w:t>
      </w:r>
      <w:r w:rsidR="372C9DED">
        <w:t xml:space="preserve"> </w:t>
      </w:r>
      <w:r w:rsidR="3C737E68">
        <w:t xml:space="preserve">indicators to student interventions across the entire range of data sources, </w:t>
      </w:r>
      <w:r w:rsidR="51174A63">
        <w:t xml:space="preserve">with initial thinking in this area captured in Smyth (2018). </w:t>
      </w:r>
    </w:p>
    <w:p w14:paraId="5FC5A8B9" w14:textId="3564072F" w:rsidR="00FD66F1" w:rsidRDefault="00BB1782" w:rsidP="001A06F0">
      <w:proofErr w:type="gramStart"/>
      <w:r>
        <w:t>F</w:t>
      </w:r>
      <w:r w:rsidR="3C737E68">
        <w:t>or the purpose of</w:t>
      </w:r>
      <w:proofErr w:type="gramEnd"/>
      <w:r w:rsidR="3C737E68">
        <w:t xml:space="preserve"> this position paper</w:t>
      </w:r>
      <w:r w:rsidR="0092349A">
        <w:t>,</w:t>
      </w:r>
      <w:r w:rsidR="3C737E68">
        <w:t xml:space="preserve"> we are primarily concerned with the </w:t>
      </w:r>
      <w:r w:rsidR="724FCB43">
        <w:t xml:space="preserve">potential </w:t>
      </w:r>
      <w:r w:rsidR="3C737E68">
        <w:t xml:space="preserve">use of predictive analytics </w:t>
      </w:r>
      <w:r>
        <w:t xml:space="preserve">(as defined above) </w:t>
      </w:r>
      <w:r w:rsidR="3C737E68">
        <w:t>in the institutional VLE</w:t>
      </w:r>
      <w:r w:rsidR="137A09D0">
        <w:t>/LMS</w:t>
      </w:r>
      <w:r w:rsidR="3C737E68">
        <w:t xml:space="preserve">, </w:t>
      </w:r>
      <w:r w:rsidR="137A09D0">
        <w:t xml:space="preserve">currently </w:t>
      </w:r>
      <w:r w:rsidR="3C737E68">
        <w:t>Brightspace</w:t>
      </w:r>
      <w:r w:rsidR="137A09D0">
        <w:t xml:space="preserve"> by D2L</w:t>
      </w:r>
      <w:r w:rsidR="1CFDFE2A">
        <w:t>,</w:t>
      </w:r>
      <w:r w:rsidR="2344C4C9">
        <w:t xml:space="preserve"> and the associated human prescriptions based on these analyses.</w:t>
      </w:r>
      <w:r>
        <w:t xml:space="preserve"> However, the work proposed in the recommendations of this paper (including pilot research) would provide the platform for further exploring the development of a range of Learning Analytics applications.</w:t>
      </w:r>
    </w:p>
    <w:p w14:paraId="2CFA274C" w14:textId="6B16ABB1" w:rsidR="000D2261" w:rsidRDefault="000D2261" w:rsidP="000D2261">
      <w:pPr>
        <w:pStyle w:val="Heading1"/>
      </w:pPr>
      <w:r>
        <w:t>Uses of analytics</w:t>
      </w:r>
    </w:p>
    <w:p w14:paraId="21FDEDB0" w14:textId="2FF462B8" w:rsidR="00A47A72" w:rsidRDefault="00BB1782">
      <w:r>
        <w:t>Learning Analytics</w:t>
      </w:r>
      <w:r w:rsidR="003165DE" w:rsidRPr="003165DE">
        <w:t xml:space="preserve"> </w:t>
      </w:r>
      <w:r w:rsidR="00A366AE">
        <w:t xml:space="preserve">data </w:t>
      </w:r>
      <w:r w:rsidR="003165DE" w:rsidRPr="003165DE">
        <w:t xml:space="preserve">is collected </w:t>
      </w:r>
      <w:r w:rsidR="00A47A72">
        <w:t>b</w:t>
      </w:r>
      <w:r w:rsidR="003165DE" w:rsidRPr="003165DE">
        <w:t xml:space="preserve">y a range of systems </w:t>
      </w:r>
      <w:r w:rsidR="00A47A72">
        <w:t>at both course and institutional level, and inc</w:t>
      </w:r>
      <w:r w:rsidR="00FD130D">
        <w:t>l</w:t>
      </w:r>
      <w:r w:rsidR="00A47A72">
        <w:t>udes</w:t>
      </w:r>
      <w:r w:rsidR="003165DE" w:rsidRPr="003165DE">
        <w:t xml:space="preserve"> student information systems, student records, library systems, </w:t>
      </w:r>
      <w:r w:rsidR="00C04BF8">
        <w:t>VLE</w:t>
      </w:r>
      <w:r w:rsidR="003165DE" w:rsidRPr="003165DE">
        <w:t xml:space="preserve">, </w:t>
      </w:r>
      <w:r w:rsidR="00C04BF8">
        <w:t xml:space="preserve">video conferencing systems, collaborative cloud services, </w:t>
      </w:r>
      <w:r w:rsidR="003165DE" w:rsidRPr="003165DE">
        <w:t>registrar records and financial systems.</w:t>
      </w:r>
      <w:r w:rsidR="00A47A72">
        <w:t xml:space="preserve"> </w:t>
      </w:r>
      <w:r w:rsidR="00147F54">
        <w:t xml:space="preserve">Data is also generated through internal feedback mechanisms such </w:t>
      </w:r>
      <w:r w:rsidR="00C04BF8">
        <w:t xml:space="preserve">as </w:t>
      </w:r>
      <w:r w:rsidR="00147F54">
        <w:t>module feedback and external mechanisms such as the National Student Survey and the Student Satisfaction and Engagement Survey.</w:t>
      </w:r>
      <w:r w:rsidR="00412B73">
        <w:t xml:space="preserve"> Implicit in the terms Learning Management System and Virtual Learning Environment is the concept of management; this includes engagement and progress indicators and as such, and </w:t>
      </w:r>
      <w:r w:rsidR="0083383E">
        <w:t>historically this data</w:t>
      </w:r>
      <w:r w:rsidR="00A47A72">
        <w:t xml:space="preserve"> has always been collected</w:t>
      </w:r>
      <w:r w:rsidR="0083383E">
        <w:t>,</w:t>
      </w:r>
      <w:r w:rsidR="00A47A72">
        <w:t xml:space="preserve"> and to a large extent has been available for analysis</w:t>
      </w:r>
      <w:r w:rsidR="0083383E">
        <w:t xml:space="preserve"> (</w:t>
      </w:r>
      <w:proofErr w:type="gramStart"/>
      <w:r w:rsidR="0083383E">
        <w:t>e.g.</w:t>
      </w:r>
      <w:proofErr w:type="gramEnd"/>
      <w:r w:rsidR="00A47A72">
        <w:t xml:space="preserve"> the early warning system or gradebook in the Blackboard VLE</w:t>
      </w:r>
      <w:r w:rsidR="004D3B6A">
        <w:t>, library loan records or the student attendance register</w:t>
      </w:r>
      <w:r w:rsidR="0083383E">
        <w:t>)</w:t>
      </w:r>
      <w:r w:rsidR="00022433">
        <w:t>.</w:t>
      </w:r>
      <w:r w:rsidR="00A366AE">
        <w:t xml:space="preserve"> </w:t>
      </w:r>
      <w:r w:rsidR="6084A764">
        <w:t xml:space="preserve">More recently the university has developed a </w:t>
      </w:r>
      <w:hyperlink r:id="rId12">
        <w:r w:rsidR="6084A764" w:rsidRPr="0050AC8C">
          <w:rPr>
            <w:rStyle w:val="Hyperlink"/>
          </w:rPr>
          <w:t>data privacy notice</w:t>
        </w:r>
      </w:hyperlink>
      <w:r w:rsidR="6084A764">
        <w:t xml:space="preserve"> that provides guidance and the parameters for </w:t>
      </w:r>
      <w:r w:rsidR="4AD7F204">
        <w:t>t</w:t>
      </w:r>
      <w:r w:rsidR="6084A764">
        <w:t>h</w:t>
      </w:r>
      <w:r w:rsidR="33EB928C">
        <w:t>e</w:t>
      </w:r>
      <w:r w:rsidR="6084A764">
        <w:t xml:space="preserve"> continued use of the above data in Brightspace, the new VLE. </w:t>
      </w:r>
      <w:r w:rsidR="00A366AE">
        <w:t xml:space="preserve">The above </w:t>
      </w:r>
      <w:r>
        <w:t>Learning Analytics</w:t>
      </w:r>
      <w:r w:rsidR="00A366AE">
        <w:t xml:space="preserve"> data falls primarily into the ‘descriptive analytics’ category</w:t>
      </w:r>
      <w:r w:rsidR="15D8B93B">
        <w:t xml:space="preserve">. Data of this kind provides </w:t>
      </w:r>
      <w:r w:rsidR="266F9DE0">
        <w:t>valuable insights into how students are engaging with the VLE and related re</w:t>
      </w:r>
      <w:r w:rsidR="3D6E53C3">
        <w:t>s</w:t>
      </w:r>
      <w:r w:rsidR="266F9DE0">
        <w:t xml:space="preserve">ources, </w:t>
      </w:r>
      <w:r w:rsidR="002F5918">
        <w:t>informing support interventions and learning design.</w:t>
      </w:r>
      <w:r w:rsidR="2793F6C2">
        <w:t xml:space="preserve"> However</w:t>
      </w:r>
      <w:r w:rsidR="7B3E14DF">
        <w:t>,</w:t>
      </w:r>
      <w:r w:rsidR="00A366AE">
        <w:t xml:space="preserve"> it is only with </w:t>
      </w:r>
      <w:r w:rsidR="25C5FA2B">
        <w:t xml:space="preserve">establishing </w:t>
      </w:r>
      <w:r w:rsidR="00A366AE">
        <w:t>further analy</w:t>
      </w:r>
      <w:r w:rsidR="654185E9">
        <w:t xml:space="preserve">tical procedures that data of this kind can be used to </w:t>
      </w:r>
      <w:r w:rsidR="00A366AE">
        <w:t>provide</w:t>
      </w:r>
      <w:r w:rsidR="00E1520C">
        <w:t xml:space="preserve"> </w:t>
      </w:r>
      <w:r w:rsidR="00AE4A75">
        <w:t>greater insight</w:t>
      </w:r>
      <w:r w:rsidR="63658B44">
        <w:t xml:space="preserve"> including in relation to more </w:t>
      </w:r>
      <w:r w:rsidR="5D71E44E">
        <w:t xml:space="preserve">tailored, </w:t>
      </w:r>
      <w:r w:rsidR="63658B44">
        <w:t xml:space="preserve">individualised support and </w:t>
      </w:r>
      <w:r w:rsidR="04CB2903">
        <w:t xml:space="preserve">conducting detailed </w:t>
      </w:r>
      <w:r w:rsidR="63658B44">
        <w:t xml:space="preserve">patterns of analysis </w:t>
      </w:r>
      <w:r w:rsidR="14491995">
        <w:t>for cohorts and programmes</w:t>
      </w:r>
      <w:r w:rsidR="00AE4A75">
        <w:t>.</w:t>
      </w:r>
    </w:p>
    <w:p w14:paraId="0B6F647E" w14:textId="77777777" w:rsidR="005F3364" w:rsidRPr="005F3364" w:rsidRDefault="005F3364" w:rsidP="00AE4A75">
      <w:r w:rsidRPr="005F3364">
        <w:t xml:space="preserve">To date, there have been </w:t>
      </w:r>
      <w:proofErr w:type="gramStart"/>
      <w:r w:rsidRPr="005F3364">
        <w:t>a number of</w:t>
      </w:r>
      <w:proofErr w:type="gramEnd"/>
      <w:r w:rsidRPr="005F3364">
        <w:t xml:space="preserve"> projects and initiatives within the university that have either been focused on further understanding the potential applications of </w:t>
      </w:r>
      <w:r w:rsidR="00BB1782" w:rsidRPr="005F3364">
        <w:t>Learning Analytics</w:t>
      </w:r>
      <w:r w:rsidR="2344C4C9" w:rsidRPr="005F3364">
        <w:t xml:space="preserve"> </w:t>
      </w:r>
      <w:r w:rsidRPr="005F3364">
        <w:t>in the university, or which have involved the use of student data in ways that align with or exemplify aspects of practice that relate either broadly or directly with Learning Analytics. This includes:</w:t>
      </w:r>
    </w:p>
    <w:p w14:paraId="643D6153" w14:textId="24C8222A" w:rsidR="00AE4A75" w:rsidRDefault="005F3364" w:rsidP="005F3364">
      <w:pPr>
        <w:pStyle w:val="ListParagraph"/>
        <w:numPr>
          <w:ilvl w:val="0"/>
          <w:numId w:val="17"/>
        </w:numPr>
      </w:pPr>
      <w:r>
        <w:t xml:space="preserve">The </w:t>
      </w:r>
      <w:r w:rsidRPr="005F3364">
        <w:t xml:space="preserve">Blue, Red, Amber, Green </w:t>
      </w:r>
      <w:proofErr w:type="gramStart"/>
      <w:r w:rsidRPr="005F3364">
        <w:t>tracking</w:t>
      </w:r>
      <w:proofErr w:type="gramEnd"/>
      <w:r w:rsidRPr="005F3364">
        <w:t xml:space="preserve"> and action planning tool</w:t>
      </w:r>
      <w:r>
        <w:t>s</w:t>
      </w:r>
      <w:r w:rsidRPr="005F3364">
        <w:t xml:space="preserve"> to support student retention and attainme</w:t>
      </w:r>
      <w:r>
        <w:t>nt which are in place within several Academic Partners</w:t>
      </w:r>
    </w:p>
    <w:p w14:paraId="2CD3755C" w14:textId="009FDE35" w:rsidR="005F3364" w:rsidRDefault="005F3364" w:rsidP="005F3364">
      <w:pPr>
        <w:pStyle w:val="ListParagraph"/>
        <w:numPr>
          <w:ilvl w:val="0"/>
          <w:numId w:val="17"/>
        </w:numPr>
      </w:pPr>
      <w:r>
        <w:lastRenderedPageBreak/>
        <w:t xml:space="preserve">The external </w:t>
      </w:r>
      <w:r w:rsidRPr="005F3364">
        <w:t xml:space="preserve">benchmarking and </w:t>
      </w:r>
      <w:r>
        <w:t xml:space="preserve">internal UHI </w:t>
      </w:r>
      <w:r w:rsidRPr="005F3364">
        <w:t xml:space="preserve">stakeholder perspectives </w:t>
      </w:r>
      <w:r>
        <w:t xml:space="preserve">on Learning Analytics undertaken by Marie-Lise </w:t>
      </w:r>
      <w:proofErr w:type="spellStart"/>
      <w:r>
        <w:t>Schlappy</w:t>
      </w:r>
      <w:proofErr w:type="spellEnd"/>
      <w:r>
        <w:t xml:space="preserve"> (2016), as part of a</w:t>
      </w:r>
      <w:r w:rsidRPr="005F3364">
        <w:t xml:space="preserve"> jointly sponsored </w:t>
      </w:r>
      <w:r>
        <w:t xml:space="preserve">scholarship project </w:t>
      </w:r>
      <w:r w:rsidR="002C72C3">
        <w:t xml:space="preserve">supported </w:t>
      </w:r>
      <w:r w:rsidRPr="005F3364">
        <w:t>by the LIS and LTA</w:t>
      </w:r>
      <w:r w:rsidR="002C72C3">
        <w:t xml:space="preserve"> and overseen within the LTA</w:t>
      </w:r>
    </w:p>
    <w:p w14:paraId="060CA6D0" w14:textId="48D46165" w:rsidR="005F3364" w:rsidRDefault="005F3364" w:rsidP="005F3364">
      <w:pPr>
        <w:pStyle w:val="ListParagraph"/>
        <w:numPr>
          <w:ilvl w:val="0"/>
          <w:numId w:val="17"/>
        </w:numPr>
      </w:pPr>
      <w:r>
        <w:t>The work initiated by QAEC, and featured in recent rounds of SNLQM dialogues, around attendance monitoring and student engagement indicators, including initial scoping of how student engagement indicators can be linked to supportive interventions (Smyth, 2018)</w:t>
      </w:r>
    </w:p>
    <w:p w14:paraId="16A92CCC" w14:textId="572D6FE0" w:rsidR="002C72C3" w:rsidRDefault="002C72C3" w:rsidP="002C72C3">
      <w:pPr>
        <w:pStyle w:val="ListParagraph"/>
        <w:numPr>
          <w:ilvl w:val="0"/>
          <w:numId w:val="17"/>
        </w:numPr>
      </w:pPr>
      <w:r>
        <w:t xml:space="preserve">The Erasmus+ exchange to the University of </w:t>
      </w:r>
      <w:r w:rsidR="002F5918">
        <w:t xml:space="preserve">Education </w:t>
      </w:r>
      <w:r>
        <w:t>Vienna to explore Learning Analytics practices with renowned expert Professor Wolf</w:t>
      </w:r>
      <w:r w:rsidR="002F5918">
        <w:t>g</w:t>
      </w:r>
      <w:r>
        <w:t>ang Grell</w:t>
      </w:r>
      <w:r w:rsidR="0A94BA9D">
        <w:t>e</w:t>
      </w:r>
      <w:r>
        <w:t>r, undertaken by John Smith (LIS) and Professor Frank Rennie in 2018 (as captured in the Smith and Rennie, 2018, report)</w:t>
      </w:r>
    </w:p>
    <w:p w14:paraId="0700DA12" w14:textId="11A6003D" w:rsidR="002C72C3" w:rsidRDefault="002C72C3" w:rsidP="002C72C3">
      <w:pPr>
        <w:pStyle w:val="ListParagraph"/>
        <w:numPr>
          <w:ilvl w:val="0"/>
          <w:numId w:val="17"/>
        </w:numPr>
      </w:pPr>
      <w:r>
        <w:t xml:space="preserve">Consultation work undertaken with class representatives at the joint HISA/LTA Class Rep Summit in 2019, at which there was a ‘world café’ session exploring the student perspective on engagement indicators and learning analytics. This was part of the university’s work for the recently concluded QAA Scotland Enhancement Theme on evidence-based practice </w:t>
      </w:r>
    </w:p>
    <w:p w14:paraId="2863EF9D" w14:textId="3BC43C39" w:rsidR="002C72C3" w:rsidRDefault="002C72C3" w:rsidP="002C72C3">
      <w:pPr>
        <w:pStyle w:val="ListParagraph"/>
        <w:numPr>
          <w:ilvl w:val="0"/>
          <w:numId w:val="17"/>
        </w:numPr>
      </w:pPr>
      <w:r>
        <w:t xml:space="preserve">The further benchmarking work and research undertaken for this position paper </w:t>
      </w:r>
    </w:p>
    <w:p w14:paraId="7D2507E2" w14:textId="391725C5" w:rsidR="005F3364" w:rsidRPr="005F3364" w:rsidRDefault="005F3364" w:rsidP="005F3364">
      <w:pPr>
        <w:pStyle w:val="ListParagraph"/>
        <w:numPr>
          <w:ilvl w:val="0"/>
          <w:numId w:val="17"/>
        </w:numPr>
      </w:pPr>
      <w:r>
        <w:t>And</w:t>
      </w:r>
      <w:r w:rsidR="002C72C3">
        <w:t>,</w:t>
      </w:r>
      <w:r>
        <w:t xml:space="preserve"> most notably, the current Dashboard Reporting project currently underway</w:t>
      </w:r>
      <w:r w:rsidR="005A4F44">
        <w:t xml:space="preserve"> and the move t</w:t>
      </w:r>
      <w:r w:rsidR="002F5918">
        <w:t xml:space="preserve">o </w:t>
      </w:r>
      <w:r w:rsidR="005A4F44">
        <w:t>Brightspace as our new VLE with advanced Learning Analytics capabilities</w:t>
      </w:r>
    </w:p>
    <w:p w14:paraId="38AA2088" w14:textId="339120FF" w:rsidR="00AE4A75" w:rsidRPr="002C72C3" w:rsidRDefault="002C72C3" w:rsidP="002C72C3">
      <w:pPr>
        <w:spacing w:line="254" w:lineRule="auto"/>
      </w:pPr>
      <w:r>
        <w:t>In addition to the above, at the time of writing the university is concluding a</w:t>
      </w:r>
      <w:r w:rsidR="35D15560" w:rsidRPr="0050AC8C">
        <w:rPr>
          <w:rFonts w:ascii="Calibri" w:eastAsia="Calibri" w:hAnsi="Calibri" w:cs="Calibri"/>
        </w:rPr>
        <w:t xml:space="preserve"> MSc student placement for 2020</w:t>
      </w:r>
      <w:r w:rsidR="594FFC22" w:rsidRPr="0050AC8C">
        <w:rPr>
          <w:rFonts w:ascii="Calibri" w:eastAsia="Calibri" w:hAnsi="Calibri" w:cs="Calibri"/>
        </w:rPr>
        <w:t>, managed by Dr Heather Fotheringham of the LTA</w:t>
      </w:r>
      <w:r>
        <w:rPr>
          <w:rFonts w:ascii="Calibri" w:eastAsia="Calibri" w:hAnsi="Calibri" w:cs="Calibri"/>
        </w:rPr>
        <w:t>. The 12-week summer placement i</w:t>
      </w:r>
      <w:r w:rsidR="35D15560" w:rsidRPr="0050AC8C">
        <w:rPr>
          <w:rFonts w:ascii="Calibri" w:eastAsia="Calibri" w:hAnsi="Calibri" w:cs="Calibri"/>
        </w:rPr>
        <w:t xml:space="preserve">s </w:t>
      </w:r>
      <w:r>
        <w:rPr>
          <w:rFonts w:ascii="Calibri" w:eastAsia="Calibri" w:hAnsi="Calibri" w:cs="Calibri"/>
        </w:rPr>
        <w:t xml:space="preserve">a </w:t>
      </w:r>
      <w:r w:rsidR="35D15560" w:rsidRPr="0050AC8C">
        <w:rPr>
          <w:rFonts w:ascii="Calibri" w:eastAsia="Calibri" w:hAnsi="Calibri" w:cs="Calibri"/>
        </w:rPr>
        <w:t xml:space="preserve">result of a partnership between The Data Lab, MBN Solutions, Robert Gordon University (RGU) and the University of the Highlands and Islands (UHI). </w:t>
      </w:r>
      <w:r w:rsidR="418C6CBD" w:rsidRPr="0050AC8C">
        <w:rPr>
          <w:rFonts w:ascii="Calibri" w:eastAsia="Calibri" w:hAnsi="Calibri" w:cs="Calibri"/>
        </w:rPr>
        <w:t xml:space="preserve">The project </w:t>
      </w:r>
      <w:r>
        <w:rPr>
          <w:rFonts w:ascii="Calibri" w:eastAsia="Calibri" w:hAnsi="Calibri" w:cs="Calibri"/>
        </w:rPr>
        <w:t xml:space="preserve">has </w:t>
      </w:r>
      <w:r w:rsidR="005A4F44">
        <w:rPr>
          <w:rFonts w:ascii="Calibri" w:eastAsia="Calibri" w:hAnsi="Calibri" w:cs="Calibri"/>
        </w:rPr>
        <w:t xml:space="preserve">sought to make </w:t>
      </w:r>
      <w:r w:rsidR="418C6CBD" w:rsidRPr="0050AC8C">
        <w:rPr>
          <w:rFonts w:ascii="Calibri" w:eastAsia="Calibri" w:hAnsi="Calibri" w:cs="Calibri"/>
        </w:rPr>
        <w:t>data and insights from</w:t>
      </w:r>
      <w:r>
        <w:rPr>
          <w:rFonts w:ascii="Calibri" w:eastAsia="Calibri" w:hAnsi="Calibri" w:cs="Calibri"/>
        </w:rPr>
        <w:t xml:space="preserve"> the university’s</w:t>
      </w:r>
      <w:r w:rsidR="005A4F44">
        <w:rPr>
          <w:rFonts w:ascii="Calibri" w:eastAsia="Calibri" w:hAnsi="Calibri" w:cs="Calibri"/>
        </w:rPr>
        <w:t xml:space="preserve"> student surveys (</w:t>
      </w:r>
      <w:r w:rsidR="418C6CBD" w:rsidRPr="0050AC8C">
        <w:rPr>
          <w:rFonts w:ascii="Calibri" w:eastAsia="Calibri" w:hAnsi="Calibri" w:cs="Calibri"/>
        </w:rPr>
        <w:t xml:space="preserve">NSS, ESES and SSES) more accessible to various stakeholders including Quality Managers, Subject Network Leaders and Programme Leaders. It has </w:t>
      </w:r>
      <w:r>
        <w:rPr>
          <w:rFonts w:ascii="Calibri" w:eastAsia="Calibri" w:hAnsi="Calibri" w:cs="Calibri"/>
        </w:rPr>
        <w:t xml:space="preserve">had </w:t>
      </w:r>
      <w:r w:rsidR="418C6CBD" w:rsidRPr="0050AC8C">
        <w:rPr>
          <w:rFonts w:ascii="Calibri" w:eastAsia="Calibri" w:hAnsi="Calibri" w:cs="Calibri"/>
        </w:rPr>
        <w:t>three key objectives: to aut</w:t>
      </w:r>
      <w:r w:rsidR="005A4F44">
        <w:rPr>
          <w:rFonts w:ascii="Calibri" w:eastAsia="Calibri" w:hAnsi="Calibri" w:cs="Calibri"/>
        </w:rPr>
        <w:t xml:space="preserve">omate data preparation; </w:t>
      </w:r>
      <w:r w:rsidR="418C6CBD" w:rsidRPr="0050AC8C">
        <w:rPr>
          <w:rFonts w:ascii="Calibri" w:eastAsia="Calibri" w:hAnsi="Calibri" w:cs="Calibri"/>
        </w:rPr>
        <w:t>develop new analyses and visualisations; and to explore insights from applying advanced data science techniques, such as natural language processing.</w:t>
      </w:r>
    </w:p>
    <w:p w14:paraId="4A3A2B3C" w14:textId="15738565" w:rsidR="002C72C3" w:rsidRDefault="001A06F0">
      <w:r>
        <w:t xml:space="preserve">Whilst there are occasions when </w:t>
      </w:r>
      <w:r w:rsidR="003165DE" w:rsidRPr="003165DE">
        <w:t xml:space="preserve">data </w:t>
      </w:r>
      <w:r>
        <w:t xml:space="preserve">from a single system or process </w:t>
      </w:r>
      <w:r w:rsidR="003165DE" w:rsidRPr="003165DE">
        <w:t>can be used in isolation t</w:t>
      </w:r>
      <w:r w:rsidR="003165DE">
        <w:t>o</w:t>
      </w:r>
      <w:r w:rsidR="003165DE" w:rsidRPr="003165DE">
        <w:t xml:space="preserve"> provide </w:t>
      </w:r>
      <w:r w:rsidR="003165DE">
        <w:t xml:space="preserve">insights into activity, </w:t>
      </w:r>
      <w:proofErr w:type="gramStart"/>
      <w:r w:rsidR="003165DE">
        <w:t>progress</w:t>
      </w:r>
      <w:proofErr w:type="gramEnd"/>
      <w:r w:rsidR="003165DE">
        <w:t xml:space="preserve"> and engagement, </w:t>
      </w:r>
      <w:r w:rsidR="002C72C3">
        <w:t xml:space="preserve">within the sector </w:t>
      </w:r>
      <w:r w:rsidR="003165DE">
        <w:t xml:space="preserve">there is an increasing move towards </w:t>
      </w:r>
      <w:r w:rsidR="00A47A72">
        <w:t>cross-functional</w:t>
      </w:r>
      <w:r w:rsidR="004D3B6A">
        <w:t xml:space="preserve"> </w:t>
      </w:r>
      <w:r w:rsidR="003165DE">
        <w:t>integrati</w:t>
      </w:r>
      <w:r w:rsidR="004D3B6A">
        <w:t>on</w:t>
      </w:r>
      <w:r w:rsidR="003165DE">
        <w:t xml:space="preserve"> </w:t>
      </w:r>
      <w:r w:rsidR="004D3B6A">
        <w:t xml:space="preserve">and analysis of </w:t>
      </w:r>
      <w:r w:rsidR="00A47A72">
        <w:t>data</w:t>
      </w:r>
      <w:r>
        <w:t>sets</w:t>
      </w:r>
      <w:r w:rsidR="00A47A72">
        <w:t xml:space="preserve"> </w:t>
      </w:r>
      <w:r w:rsidR="002F5918">
        <w:t xml:space="preserve">(multimodal LA) </w:t>
      </w:r>
      <w:r w:rsidR="00A47A72">
        <w:t>to provide a more holistic view of the student journey</w:t>
      </w:r>
      <w:r w:rsidR="004D3B6A">
        <w:t>, providing early indication and proactive intervention</w:t>
      </w:r>
      <w:r w:rsidR="00F45F92">
        <w:t xml:space="preserve"> at an individual level</w:t>
      </w:r>
      <w:r w:rsidR="004D3B6A">
        <w:t>.</w:t>
      </w:r>
      <w:r>
        <w:t xml:space="preserve"> </w:t>
      </w:r>
    </w:p>
    <w:p w14:paraId="1394266C" w14:textId="77777777" w:rsidR="002C72C3" w:rsidRDefault="001A06F0">
      <w:r>
        <w:t xml:space="preserve">Ultimately this is where </w:t>
      </w:r>
      <w:r w:rsidR="008B6214">
        <w:t>the university</w:t>
      </w:r>
      <w:r>
        <w:t xml:space="preserve"> would like to be </w:t>
      </w:r>
      <w:proofErr w:type="gramStart"/>
      <w:r>
        <w:t>with regard to</w:t>
      </w:r>
      <w:proofErr w:type="gramEnd"/>
      <w:r>
        <w:t xml:space="preserve"> </w:t>
      </w:r>
      <w:r w:rsidR="00BB1782">
        <w:t>Learning Analytics</w:t>
      </w:r>
      <w:r w:rsidR="00022433">
        <w:t xml:space="preserve">, however </w:t>
      </w:r>
      <w:r w:rsidR="002C72C3">
        <w:t>as Smyth (2018</w:t>
      </w:r>
      <w:r w:rsidR="00022433">
        <w:t>) highlights, these datasets are not being effectively harnessed, and to do so requires developing staff and student capability in inter</w:t>
      </w:r>
      <w:r w:rsidR="002C72C3">
        <w:t xml:space="preserve">preting an acting upon the data; </w:t>
      </w:r>
      <w:r w:rsidR="00022433">
        <w:t>linking our interpretation to timely interventions and enhancements in learning and teaching; meeting wider student support needs; and tracking and evaluating the effectiveness of those interventions.</w:t>
      </w:r>
      <w:r w:rsidR="007A293F">
        <w:t xml:space="preserve"> </w:t>
      </w:r>
    </w:p>
    <w:p w14:paraId="177C192C" w14:textId="343EB9C6" w:rsidR="007A293F" w:rsidRDefault="002C72C3">
      <w:r>
        <w:t>However, while i</w:t>
      </w:r>
      <w:r w:rsidR="007A293F">
        <w:t xml:space="preserve">n </w:t>
      </w:r>
      <w:proofErr w:type="gramStart"/>
      <w:r w:rsidR="00D92506">
        <w:t>short</w:t>
      </w:r>
      <w:proofErr w:type="gramEnd"/>
      <w:r w:rsidR="005A4F44">
        <w:t xml:space="preserve"> the university is not</w:t>
      </w:r>
      <w:r w:rsidR="00AE4A75">
        <w:t xml:space="preserve"> </w:t>
      </w:r>
      <w:r w:rsidR="00D92506">
        <w:t>currently</w:t>
      </w:r>
      <w:r w:rsidR="00AE4A75">
        <w:t xml:space="preserve"> in</w:t>
      </w:r>
      <w:r w:rsidR="007A293F">
        <w:t xml:space="preserve"> a state of readiness to enable the successful rollout of a </w:t>
      </w:r>
      <w:r w:rsidR="00AE4A75">
        <w:t>large-scale, integrated</w:t>
      </w:r>
      <w:r w:rsidR="007A293F">
        <w:t xml:space="preserve"> </w:t>
      </w:r>
      <w:r w:rsidR="00BB1782">
        <w:t>Learning Analytics</w:t>
      </w:r>
      <w:r w:rsidR="007A293F">
        <w:t xml:space="preserve"> </w:t>
      </w:r>
      <w:r w:rsidR="00AE4A75">
        <w:t>initiative</w:t>
      </w:r>
      <w:r>
        <w:t xml:space="preserve"> we do have the </w:t>
      </w:r>
      <w:r w:rsidR="005A4F44">
        <w:t>potential capacity to do so, and the initiatives above (and the work proposed in this paper) provides a means to do so.</w:t>
      </w:r>
    </w:p>
    <w:p w14:paraId="5DD98575" w14:textId="67AA5128" w:rsidR="007A293F" w:rsidRDefault="007A293F" w:rsidP="007A293F">
      <w:pPr>
        <w:pStyle w:val="Heading1"/>
      </w:pPr>
      <w:r>
        <w:t>Brightspace and Analytics</w:t>
      </w:r>
    </w:p>
    <w:p w14:paraId="56A4C054" w14:textId="0BBB3C2E" w:rsidR="007A293F" w:rsidRDefault="724FCB43" w:rsidP="007A293F">
      <w:r>
        <w:t>Institutional VLEs collect large amounts of data about our students and their interaction with the system</w:t>
      </w:r>
      <w:r w:rsidR="12C5451F">
        <w:t>.</w:t>
      </w:r>
      <w:r>
        <w:t xml:space="preserve"> </w:t>
      </w:r>
    </w:p>
    <w:p w14:paraId="287E836D" w14:textId="71A48800" w:rsidR="007A293F" w:rsidRPr="005A4F44" w:rsidRDefault="7616FE99" w:rsidP="0050AC8C">
      <w:pPr>
        <w:spacing w:line="276" w:lineRule="auto"/>
        <w:rPr>
          <w:rFonts w:ascii="Calibri" w:eastAsia="Calibri" w:hAnsi="Calibri" w:cs="Calibri"/>
        </w:rPr>
      </w:pPr>
      <w:r w:rsidRPr="005A4F44">
        <w:rPr>
          <w:rFonts w:ascii="Calibri" w:eastAsia="Calibri" w:hAnsi="Calibri" w:cs="Calibri"/>
        </w:rPr>
        <w:t>The legal reason for UHI’s collection of VLE data is ‘</w:t>
      </w:r>
      <w:r w:rsidR="691E0289" w:rsidRPr="005A4F44">
        <w:rPr>
          <w:rFonts w:ascii="Calibri" w:eastAsia="Calibri" w:hAnsi="Calibri" w:cs="Calibri"/>
        </w:rPr>
        <w:t>p</w:t>
      </w:r>
      <w:r w:rsidR="551D6628" w:rsidRPr="005A4F44">
        <w:rPr>
          <w:rFonts w:ascii="Calibri" w:eastAsia="Calibri" w:hAnsi="Calibri" w:cs="Calibri"/>
        </w:rPr>
        <w:t>ublic task</w:t>
      </w:r>
      <w:r w:rsidR="3B2C5BC2" w:rsidRPr="005A4F44">
        <w:rPr>
          <w:rFonts w:ascii="Calibri" w:eastAsia="Calibri" w:hAnsi="Calibri" w:cs="Calibri"/>
        </w:rPr>
        <w:t>’</w:t>
      </w:r>
      <w:r w:rsidR="551D6628" w:rsidRPr="005A4F44">
        <w:rPr>
          <w:rFonts w:ascii="Calibri" w:eastAsia="Calibri" w:hAnsi="Calibri" w:cs="Calibri"/>
        </w:rPr>
        <w:t xml:space="preserve">. </w:t>
      </w:r>
      <w:r w:rsidR="3E855A15" w:rsidRPr="005A4F44">
        <w:rPr>
          <w:rFonts w:ascii="Calibri" w:eastAsia="Calibri" w:hAnsi="Calibri" w:cs="Calibri"/>
        </w:rPr>
        <w:t xml:space="preserve">Data is collected to ensure </w:t>
      </w:r>
      <w:r w:rsidR="551D6628" w:rsidRPr="005A4F44">
        <w:rPr>
          <w:rFonts w:ascii="Calibri" w:eastAsia="Calibri" w:hAnsi="Calibri" w:cs="Calibri"/>
        </w:rPr>
        <w:t xml:space="preserve">that students are engaging with their programme/module(s)/unit(s) that comprise their course of study, to identify and offer support to students who may be experiencing challenges relating to their </w:t>
      </w:r>
      <w:r w:rsidR="551D6628" w:rsidRPr="005A4F44">
        <w:rPr>
          <w:rFonts w:ascii="Calibri" w:eastAsia="Calibri" w:hAnsi="Calibri" w:cs="Calibri"/>
        </w:rPr>
        <w:lastRenderedPageBreak/>
        <w:t xml:space="preserve">engagement, and to evaluate and refine learning, </w:t>
      </w:r>
      <w:proofErr w:type="gramStart"/>
      <w:r w:rsidR="551D6628" w:rsidRPr="005A4F44">
        <w:rPr>
          <w:rFonts w:ascii="Calibri" w:eastAsia="Calibri" w:hAnsi="Calibri" w:cs="Calibri"/>
        </w:rPr>
        <w:t>teaching</w:t>
      </w:r>
      <w:proofErr w:type="gramEnd"/>
      <w:r w:rsidR="551D6628" w:rsidRPr="005A4F44">
        <w:rPr>
          <w:rFonts w:ascii="Calibri" w:eastAsia="Calibri" w:hAnsi="Calibri" w:cs="Calibri"/>
        </w:rPr>
        <w:t xml:space="preserve"> and assessment practices in relation to our programmes, modules and units.</w:t>
      </w:r>
    </w:p>
    <w:p w14:paraId="7CE1BD61" w14:textId="5454AB15" w:rsidR="007A293F" w:rsidRDefault="007A293F" w:rsidP="007A293F">
      <w:r>
        <w:t xml:space="preserve">In Brightspace this data is visible in the </w:t>
      </w:r>
      <w:proofErr w:type="spellStart"/>
      <w:r>
        <w:t>DataHub</w:t>
      </w:r>
      <w:proofErr w:type="spellEnd"/>
      <w:r>
        <w:t xml:space="preserve"> as a set of reports</w:t>
      </w:r>
      <w:r w:rsidR="00412B73">
        <w:t xml:space="preserve"> with access restricted by system role</w:t>
      </w:r>
      <w:r>
        <w:t xml:space="preserve">. These reports are divided into two subsets; core analytics and performance analytics and can be visualised on the Insight Portal. Interpretation of these reports requires an understanding of the data. </w:t>
      </w:r>
      <w:proofErr w:type="gramStart"/>
      <w:r>
        <w:t>In order to</w:t>
      </w:r>
      <w:proofErr w:type="gramEnd"/>
      <w:r>
        <w:t xml:space="preserve"> further assist institutions Brightspace have created a Student Success System (S3) that provides a prediction of student success by comparing the performance </w:t>
      </w:r>
      <w:r w:rsidR="00AE4A75">
        <w:t>of</w:t>
      </w:r>
      <w:r>
        <w:t xml:space="preserve"> previous cohorts with current students. This </w:t>
      </w:r>
      <w:r w:rsidR="00016121">
        <w:t xml:space="preserve">predictive ability </w:t>
      </w:r>
      <w:r>
        <w:t xml:space="preserve">relies on the structure and pedagogy of the previous </w:t>
      </w:r>
      <w:r w:rsidR="00016121">
        <w:t>delivery</w:t>
      </w:r>
      <w:r>
        <w:t xml:space="preserve"> being </w:t>
      </w:r>
      <w:proofErr w:type="gramStart"/>
      <w:r>
        <w:t>similar to</w:t>
      </w:r>
      <w:proofErr w:type="gramEnd"/>
      <w:r>
        <w:t xml:space="preserve"> the current one, something that will undoubtedly be impacted by the current Covid-19 pandemic which accelerated many face-to-face and blended deliveries to predominantly online</w:t>
      </w:r>
      <w:r w:rsidR="00AE4A75">
        <w:t>, even if temporary.</w:t>
      </w:r>
    </w:p>
    <w:p w14:paraId="3692E41E" w14:textId="68AC1A1C" w:rsidR="3FFC9EEA" w:rsidRDefault="3FFC9EEA" w:rsidP="0050AC8C">
      <w:pPr>
        <w:pStyle w:val="Heading1"/>
      </w:pPr>
      <w:r>
        <w:t>Potential for analytics (post covid-19)</w:t>
      </w:r>
    </w:p>
    <w:p w14:paraId="5FE7DCD7" w14:textId="77777777" w:rsidR="00C34755" w:rsidRDefault="005A4F44" w:rsidP="005A4F44">
      <w:r>
        <w:t xml:space="preserve">Within the sector there is currently increased interest in, and related initial development of, potential applications of Learning Analytics that are informed by, and would help frame future potential responses to, COVID-19 and other pandemic enforced contingency responses to student support, learning and teaching, and the operationalisation of digital data, </w:t>
      </w:r>
      <w:proofErr w:type="gramStart"/>
      <w:r>
        <w:t>spaces</w:t>
      </w:r>
      <w:proofErr w:type="gramEnd"/>
      <w:r>
        <w:t xml:space="preserve"> and resources to inform timely decisions and interventions in the event of further instances of lockdown or social distancing. Areas of emerging application including identifying and intervening to support students and cohorts at most risk and disadvantage, to inform decisions on the </w:t>
      </w:r>
      <w:r w:rsidR="00C34755">
        <w:t xml:space="preserve">nature and sequencing of learning, </w:t>
      </w:r>
      <w:r>
        <w:t>teaching</w:t>
      </w:r>
      <w:r w:rsidR="00C34755">
        <w:t xml:space="preserve"> and assessment</w:t>
      </w:r>
      <w:r>
        <w:t xml:space="preserve"> activities and the curriculum itself, and to</w:t>
      </w:r>
      <w:r w:rsidR="00C34755">
        <w:t xml:space="preserve"> identify other mitigations and interventions to ensure continuity of an effective and equitable learning experience.</w:t>
      </w:r>
    </w:p>
    <w:p w14:paraId="1816CD3A" w14:textId="29EACB0E" w:rsidR="005A4F44" w:rsidRDefault="00C34755" w:rsidP="005A4F44">
      <w:r>
        <w:t xml:space="preserve">The work proposed in this paper, while limited in terms of initial scope, would contribute </w:t>
      </w:r>
      <w:proofErr w:type="gramStart"/>
      <w:r>
        <w:t>to</w:t>
      </w:r>
      <w:proofErr w:type="gramEnd"/>
      <w:r>
        <w:t xml:space="preserve"> and provide a platform for the development of Learning Analytics policy, procedures and practices that are relevant within the broader post-COVID19 context the sector now finds itself in.</w:t>
      </w:r>
      <w:r w:rsidR="005A4F44">
        <w:t xml:space="preserve"> </w:t>
      </w:r>
    </w:p>
    <w:p w14:paraId="5E09D93F" w14:textId="1263C204" w:rsidR="00FD130D" w:rsidRDefault="00FD130D" w:rsidP="00FD130D">
      <w:pPr>
        <w:pStyle w:val="Heading1"/>
      </w:pPr>
      <w:r>
        <w:t>Considerations</w:t>
      </w:r>
    </w:p>
    <w:p w14:paraId="750DB972" w14:textId="15B5E323" w:rsidR="0055210D" w:rsidRDefault="00E839B6" w:rsidP="00FD130D">
      <w:r>
        <w:t xml:space="preserve">Whilst the above paints an optimistic picture of analytics there are some caveats </w:t>
      </w:r>
      <w:r w:rsidR="00FD130D">
        <w:t xml:space="preserve">that should be </w:t>
      </w:r>
      <w:r>
        <w:t>observed</w:t>
      </w:r>
      <w:r w:rsidR="00FD130D">
        <w:t xml:space="preserve"> in relation to the use of analytics</w:t>
      </w:r>
      <w:r>
        <w:t>.</w:t>
      </w:r>
      <w:r w:rsidR="0086544A">
        <w:t xml:space="preserve"> </w:t>
      </w:r>
      <w:r w:rsidR="00661A31">
        <w:t xml:space="preserve">In the development of their DELICATE checklist </w:t>
      </w:r>
      <w:r w:rsidR="5B3DF51C">
        <w:t xml:space="preserve">(Determination, Explain, Legitimate, Involve, Consent, Anonymise, Technical, External) </w:t>
      </w:r>
      <w:r w:rsidR="00661A31">
        <w:t xml:space="preserve">for the implementation of trusted </w:t>
      </w:r>
      <w:r w:rsidR="00BB1782">
        <w:t>Learning Analytics</w:t>
      </w:r>
      <w:r w:rsidR="00661A31">
        <w:t xml:space="preserve">, </w:t>
      </w:r>
      <w:proofErr w:type="spellStart"/>
      <w:r w:rsidR="0086544A">
        <w:t>Drach</w:t>
      </w:r>
      <w:r w:rsidR="00661A31">
        <w:t>s</w:t>
      </w:r>
      <w:r w:rsidR="0086544A">
        <w:t>ler</w:t>
      </w:r>
      <w:proofErr w:type="spellEnd"/>
      <w:r w:rsidR="0086544A">
        <w:t xml:space="preserve"> and Greller (2016) highlight how in some cases </w:t>
      </w:r>
      <w:r w:rsidR="00BB1782">
        <w:t>Learning Analytics</w:t>
      </w:r>
      <w:r w:rsidR="00FB2326">
        <w:t xml:space="preserve"> </w:t>
      </w:r>
      <w:r w:rsidR="00B36C88">
        <w:t xml:space="preserve">uptake </w:t>
      </w:r>
      <w:r w:rsidR="0086544A">
        <w:t xml:space="preserve">has stagnated and even gone into reverse following concerns by governments, stakeholders and civil right groups about privacy and the handling of personal data. </w:t>
      </w:r>
      <w:r w:rsidR="0055210D">
        <w:t xml:space="preserve">They state that privacy is an area of big concern to institutions and highlight the institutional dilemma of wanting to do the best for their students whilst fearing the negative consequences of implementing </w:t>
      </w:r>
      <w:r w:rsidR="00BB1782">
        <w:t>Learning Analytics</w:t>
      </w:r>
      <w:r w:rsidR="0055210D">
        <w:t>, such as negative press, loss of reputation and brand value or even legal liabilities.</w:t>
      </w:r>
    </w:p>
    <w:p w14:paraId="10222616" w14:textId="3D4DE28C" w:rsidR="00AB1251" w:rsidRDefault="00AB1251" w:rsidP="00FD130D">
      <w:r>
        <w:t xml:space="preserve">In their paper on avoiding failure in </w:t>
      </w:r>
      <w:r w:rsidR="00BB1782">
        <w:t>Learning Analytics</w:t>
      </w:r>
      <w:r>
        <w:t xml:space="preserve">, Ferguson and Clow (2017) draw attention to the importance of a </w:t>
      </w:r>
      <w:r w:rsidRPr="002F5918">
        <w:rPr>
          <w:b/>
          <w:bCs/>
        </w:rPr>
        <w:t>clear vision</w:t>
      </w:r>
      <w:r>
        <w:t xml:space="preserve"> of what you want to achieve that is closely aligned with institutional policy supported and steered by a senior leadership team. They also highlight the need for </w:t>
      </w:r>
      <w:r w:rsidRPr="002F5918">
        <w:rPr>
          <w:b/>
          <w:bCs/>
        </w:rPr>
        <w:t>capacity building</w:t>
      </w:r>
      <w:r>
        <w:t xml:space="preserve">, especially of a skilled data analyst and the users of </w:t>
      </w:r>
      <w:r w:rsidR="00BB1782">
        <w:t>Learning Analytics</w:t>
      </w:r>
      <w:r w:rsidR="002E7AAB">
        <w:t xml:space="preserve"> </w:t>
      </w:r>
      <w:r>
        <w:t>outputs.</w:t>
      </w:r>
    </w:p>
    <w:p w14:paraId="621467B8" w14:textId="41574FEF" w:rsidR="00FD130D" w:rsidRDefault="0055210D" w:rsidP="00FD130D">
      <w:proofErr w:type="spellStart"/>
      <w:r>
        <w:t>Drac</w:t>
      </w:r>
      <w:r w:rsidR="00E1520C">
        <w:t>hsle</w:t>
      </w:r>
      <w:r>
        <w:t>r</w:t>
      </w:r>
      <w:proofErr w:type="spellEnd"/>
      <w:r>
        <w:t xml:space="preserve"> and Greller, in accord with the Jisc ‘Code of practice for </w:t>
      </w:r>
      <w:r w:rsidR="00BB1782">
        <w:t>Learning Analytics</w:t>
      </w:r>
      <w:r w:rsidR="00661A31">
        <w:t>’ (201</w:t>
      </w:r>
      <w:r w:rsidR="00B36C88">
        <w:t>8</w:t>
      </w:r>
      <w:r w:rsidR="00661A31">
        <w:t>),</w:t>
      </w:r>
      <w:r>
        <w:t xml:space="preserve"> also point to acceptance of technological solutions as being dependent on “data subjects being sufficiently aware of the </w:t>
      </w:r>
      <w:r w:rsidR="00661A31">
        <w:t>consequences</w:t>
      </w:r>
      <w:r>
        <w:t xml:space="preserve"> of using the system, the validity and relevance of the </w:t>
      </w:r>
      <w:r w:rsidR="00661A31">
        <w:t>results</w:t>
      </w:r>
      <w:r>
        <w:t xml:space="preserve"> </w:t>
      </w:r>
      <w:r w:rsidR="00661A31">
        <w:t>obtained</w:t>
      </w:r>
      <w:r>
        <w:t xml:space="preserve"> and the level of transparency of the data model”. </w:t>
      </w:r>
      <w:r w:rsidR="00661A31">
        <w:t xml:space="preserve"> </w:t>
      </w:r>
      <w:r w:rsidR="00FD130D">
        <w:t xml:space="preserve">The Jisc ‘Code of practice for </w:t>
      </w:r>
      <w:r w:rsidR="00BB1782">
        <w:t xml:space="preserve">Learning </w:t>
      </w:r>
      <w:r w:rsidR="00BB1782">
        <w:lastRenderedPageBreak/>
        <w:t>Analytics</w:t>
      </w:r>
      <w:r w:rsidR="00FD130D">
        <w:t xml:space="preserve">’ clearly highlights </w:t>
      </w:r>
      <w:r w:rsidR="00F45F92">
        <w:t>a range of</w:t>
      </w:r>
      <w:r w:rsidR="00FD130D">
        <w:t xml:space="preserve"> areas where serious consideration is required</w:t>
      </w:r>
      <w:r w:rsidR="0086544A">
        <w:t>, these are summarised below</w:t>
      </w:r>
      <w:r w:rsidR="00FD130D">
        <w:t>:</w:t>
      </w:r>
    </w:p>
    <w:p w14:paraId="43DBE5FF" w14:textId="71116410" w:rsidR="00FD130D" w:rsidRDefault="00FD130D" w:rsidP="00FD130D">
      <w:r w:rsidRPr="0086544A">
        <w:rPr>
          <w:b/>
          <w:bCs/>
        </w:rPr>
        <w:t>Responsibility</w:t>
      </w:r>
      <w:r w:rsidR="00F45F92">
        <w:t xml:space="preserve"> – for collection, processing, interventions, </w:t>
      </w:r>
      <w:proofErr w:type="gramStart"/>
      <w:r w:rsidR="00F45F92">
        <w:t>retention</w:t>
      </w:r>
      <w:proofErr w:type="gramEnd"/>
      <w:r w:rsidR="00F45F92">
        <w:t xml:space="preserve"> and stewardship. This requires engagement with key stakeholders and key staff groups.</w:t>
      </w:r>
    </w:p>
    <w:p w14:paraId="66132D8B" w14:textId="6AC562C5" w:rsidR="00FD130D" w:rsidRDefault="00FD130D" w:rsidP="00FD130D">
      <w:r w:rsidRPr="0086544A">
        <w:rPr>
          <w:b/>
          <w:bCs/>
        </w:rPr>
        <w:t>Transparency</w:t>
      </w:r>
      <w:r w:rsidR="00F45F92">
        <w:t xml:space="preserve"> – what are our objectives, what data do we need and what is out of scope. Make visible the processes involved in producing the analytics.</w:t>
      </w:r>
    </w:p>
    <w:p w14:paraId="08C71966" w14:textId="50E04439" w:rsidR="00FD130D" w:rsidRDefault="00FD130D" w:rsidP="00FD130D">
      <w:r w:rsidRPr="0086544A">
        <w:rPr>
          <w:b/>
          <w:bCs/>
        </w:rPr>
        <w:t>Consent</w:t>
      </w:r>
      <w:r w:rsidR="00F45F92">
        <w:t xml:space="preserve"> – </w:t>
      </w:r>
      <w:r w:rsidR="002352D8">
        <w:t>may</w:t>
      </w:r>
      <w:r w:rsidR="00F45F92">
        <w:t xml:space="preserve"> be covered by the current enrolment arrangements but </w:t>
      </w:r>
      <w:r w:rsidR="002352D8">
        <w:t>may also require a PIA and additional consent.</w:t>
      </w:r>
      <w:r w:rsidR="00F45F92">
        <w:t xml:space="preserve"> </w:t>
      </w:r>
      <w:r w:rsidR="002352D8">
        <w:t>This should include potential adverse consequences of opting out</w:t>
      </w:r>
      <w:r w:rsidR="000C0A63">
        <w:t xml:space="preserve"> and a complaints procedure (ombudsman)</w:t>
      </w:r>
      <w:r w:rsidR="002352D8">
        <w:t>.</w:t>
      </w:r>
    </w:p>
    <w:p w14:paraId="592600BF" w14:textId="3F98302A" w:rsidR="00FD130D" w:rsidRDefault="00FD130D" w:rsidP="00FD130D">
      <w:r w:rsidRPr="0086544A">
        <w:rPr>
          <w:b/>
          <w:bCs/>
        </w:rPr>
        <w:t>Privacy</w:t>
      </w:r>
      <w:r w:rsidR="002352D8">
        <w:t xml:space="preserve"> – </w:t>
      </w:r>
      <w:r w:rsidR="0086544A">
        <w:t>data</w:t>
      </w:r>
      <w:r w:rsidR="002352D8">
        <w:t xml:space="preserve"> should only be accessed by those with a legitimate need. Anonymised data should be protected from reverse engineering by aggregating multiple sources.</w:t>
      </w:r>
    </w:p>
    <w:p w14:paraId="21F77D0D" w14:textId="0BB7D380" w:rsidR="00FD130D" w:rsidRDefault="00FD130D" w:rsidP="00FD130D">
      <w:r w:rsidRPr="0086544A">
        <w:rPr>
          <w:b/>
          <w:bCs/>
        </w:rPr>
        <w:t>Validity</w:t>
      </w:r>
      <w:r w:rsidR="002352D8">
        <w:t xml:space="preserve"> – data should be as complete as possible, understood, seen in its wider </w:t>
      </w:r>
      <w:proofErr w:type="gramStart"/>
      <w:r w:rsidR="002352D8">
        <w:t>context</w:t>
      </w:r>
      <w:proofErr w:type="gramEnd"/>
      <w:r w:rsidR="002352D8">
        <w:t xml:space="preserve"> and not used in isolation.</w:t>
      </w:r>
    </w:p>
    <w:p w14:paraId="26399830" w14:textId="1F4487DE" w:rsidR="002352D8" w:rsidRDefault="002352D8" w:rsidP="00FD130D">
      <w:r w:rsidRPr="0086544A">
        <w:rPr>
          <w:b/>
          <w:bCs/>
        </w:rPr>
        <w:t>Access</w:t>
      </w:r>
      <w:r>
        <w:t xml:space="preserve"> – students should be able to access all data held about them if requested.</w:t>
      </w:r>
    </w:p>
    <w:p w14:paraId="01CC035E" w14:textId="566CDFC2" w:rsidR="002352D8" w:rsidRDefault="0086544A" w:rsidP="00FD130D">
      <w:r w:rsidRPr="0086544A">
        <w:rPr>
          <w:b/>
          <w:bCs/>
        </w:rPr>
        <w:t>Interventions</w:t>
      </w:r>
      <w:r w:rsidR="00FD130D">
        <w:t xml:space="preserve"> – </w:t>
      </w:r>
      <w:r w:rsidR="002352D8">
        <w:t xml:space="preserve">state when, why how </w:t>
      </w:r>
      <w:r w:rsidR="000C0A63">
        <w:t>and by whom interventions</w:t>
      </w:r>
      <w:r w:rsidR="002352D8">
        <w:t xml:space="preserve"> will </w:t>
      </w:r>
      <w:r w:rsidR="000C0A63">
        <w:t>be made.</w:t>
      </w:r>
      <w:r w:rsidR="002352D8">
        <w:t xml:space="preserve"> We also need to recognise the impact on the staff involved in relation to workload and training. </w:t>
      </w:r>
      <w:r w:rsidR="000C0A63">
        <w:t>Interventions are likely to be domain specific and w</w:t>
      </w:r>
      <w:r w:rsidR="002352D8">
        <w:t xml:space="preserve">e need a consistent approach across the partners and programmes of </w:t>
      </w:r>
      <w:r>
        <w:t>learning</w:t>
      </w:r>
      <w:r w:rsidR="002352D8">
        <w:t>.</w:t>
      </w:r>
    </w:p>
    <w:p w14:paraId="41EFA5D6" w14:textId="14888A81" w:rsidR="00FD130D" w:rsidRDefault="002352D8" w:rsidP="00FD130D">
      <w:r w:rsidRPr="0086544A">
        <w:rPr>
          <w:b/>
          <w:bCs/>
        </w:rPr>
        <w:t>Minimise a</w:t>
      </w:r>
      <w:r w:rsidR="00FD130D" w:rsidRPr="0086544A">
        <w:rPr>
          <w:b/>
          <w:bCs/>
        </w:rPr>
        <w:t>dverse impact</w:t>
      </w:r>
      <w:r w:rsidR="00FD130D">
        <w:t xml:space="preserve"> –</w:t>
      </w:r>
      <w:r>
        <w:t xml:space="preserve"> by designing systems that allow students to maintain autonomy</w:t>
      </w:r>
      <w:r w:rsidR="0086544A">
        <w:t xml:space="preserve">; by </w:t>
      </w:r>
      <w:r>
        <w:t>minimis</w:t>
      </w:r>
      <w:r w:rsidR="0086544A">
        <w:t>ing</w:t>
      </w:r>
      <w:r>
        <w:t xml:space="preserve"> the opportunity to ‘game the system’</w:t>
      </w:r>
      <w:r w:rsidR="0086544A">
        <w:t>; by</w:t>
      </w:r>
      <w:r>
        <w:t xml:space="preserve"> reduc</w:t>
      </w:r>
      <w:r w:rsidR="0086544A">
        <w:t>ing</w:t>
      </w:r>
      <w:r>
        <w:t xml:space="preserve"> the </w:t>
      </w:r>
      <w:r w:rsidR="0086544A">
        <w:t>likelihood</w:t>
      </w:r>
      <w:r>
        <w:t xml:space="preserve"> of </w:t>
      </w:r>
      <w:r w:rsidR="0086544A">
        <w:t xml:space="preserve">non-participation due to knowing they are being monitored; by making sure staff understand legal, </w:t>
      </w:r>
      <w:proofErr w:type="gramStart"/>
      <w:r w:rsidR="0086544A">
        <w:t>ethical</w:t>
      </w:r>
      <w:proofErr w:type="gramEnd"/>
      <w:r w:rsidR="0086544A">
        <w:t xml:space="preserve"> and unethical practice</w:t>
      </w:r>
      <w:r w:rsidR="000C0A63">
        <w:t xml:space="preserve"> and their fiduciary duty towards students.</w:t>
      </w:r>
    </w:p>
    <w:p w14:paraId="21B9E414" w14:textId="476D0777" w:rsidR="00FD130D" w:rsidRDefault="00FD130D" w:rsidP="00FD130D">
      <w:r w:rsidRPr="0086544A">
        <w:rPr>
          <w:b/>
          <w:bCs/>
        </w:rPr>
        <w:t>Stewardship</w:t>
      </w:r>
      <w:r w:rsidR="0086544A">
        <w:t xml:space="preserve"> – data should be kept to the minimum necessary, </w:t>
      </w:r>
      <w:r w:rsidR="000C0A63">
        <w:t xml:space="preserve">as safe as possible from external interference (hacking) and </w:t>
      </w:r>
      <w:r w:rsidR="0086544A">
        <w:t>processed in the EU or according to the DPA and retained only for defined periods.</w:t>
      </w:r>
    </w:p>
    <w:p w14:paraId="2191093B" w14:textId="0F80B997" w:rsidR="005C5A31" w:rsidRDefault="50D33CAB" w:rsidP="005C5A31">
      <w:pPr>
        <w:pStyle w:val="Heading1"/>
      </w:pPr>
      <w:r>
        <w:t>Recommendations</w:t>
      </w:r>
    </w:p>
    <w:p w14:paraId="47982A9D" w14:textId="667CF024" w:rsidR="00C21DFF" w:rsidRDefault="6E4383E5" w:rsidP="00C21DFF">
      <w:proofErr w:type="gramStart"/>
      <w:r>
        <w:t>In light of</w:t>
      </w:r>
      <w:proofErr w:type="gramEnd"/>
      <w:r>
        <w:t xml:space="preserve"> the </w:t>
      </w:r>
      <w:r w:rsidR="5ED23486">
        <w:t>findings in this report</w:t>
      </w:r>
      <w:r>
        <w:t xml:space="preserve"> and </w:t>
      </w:r>
      <w:r w:rsidR="7CC0C43F">
        <w:t>the</w:t>
      </w:r>
      <w:r>
        <w:t xml:space="preserve"> readiness of the institution to embrace </w:t>
      </w:r>
      <w:r w:rsidR="00BB1782">
        <w:t>Learning Analytics</w:t>
      </w:r>
      <w:r>
        <w:t xml:space="preserve"> </w:t>
      </w:r>
      <w:r w:rsidR="5F193E0D">
        <w:t>it is proposed</w:t>
      </w:r>
      <w:r w:rsidR="1460DDBA">
        <w:t xml:space="preserve"> </w:t>
      </w:r>
      <w:r>
        <w:t>that in the first instance a</w:t>
      </w:r>
      <w:r w:rsidR="67BB20DD">
        <w:t xml:space="preserve"> </w:t>
      </w:r>
      <w:r w:rsidR="3D7B338A">
        <w:t xml:space="preserve">constrained </w:t>
      </w:r>
      <w:r w:rsidR="67BB20DD">
        <w:t>research</w:t>
      </w:r>
      <w:r>
        <w:t xml:space="preserve"> pilot project is run</w:t>
      </w:r>
      <w:r w:rsidR="357ECD67">
        <w:t xml:space="preserve"> and managed by the LTA</w:t>
      </w:r>
      <w:r w:rsidR="67BB20DD">
        <w:t xml:space="preserve">. </w:t>
      </w:r>
      <w:r w:rsidR="5C85D1E9">
        <w:t xml:space="preserve">This will </w:t>
      </w:r>
      <w:r w:rsidR="4886A14C">
        <w:t xml:space="preserve">reduce the potential pushback from students, teaching staff and perhaps trade union bodies </w:t>
      </w:r>
      <w:r w:rsidR="7A0FD2EB">
        <w:t>and</w:t>
      </w:r>
      <w:r w:rsidR="4886A14C">
        <w:t xml:space="preserve"> </w:t>
      </w:r>
      <w:r w:rsidR="5C85D1E9">
        <w:t>afford us time to engage with key stakeholders</w:t>
      </w:r>
      <w:r w:rsidR="4886A14C">
        <w:t xml:space="preserve"> and better understand the use, implications, </w:t>
      </w:r>
      <w:proofErr w:type="gramStart"/>
      <w:r w:rsidR="4886A14C">
        <w:t>benefits</w:t>
      </w:r>
      <w:proofErr w:type="gramEnd"/>
      <w:r w:rsidR="4886A14C">
        <w:t xml:space="preserve"> and ethics of using </w:t>
      </w:r>
      <w:r w:rsidR="00BB1782">
        <w:t>Learning Analytics</w:t>
      </w:r>
      <w:r w:rsidR="5F193E0D">
        <w:t xml:space="preserve">. </w:t>
      </w:r>
      <w:r w:rsidR="4886A14C">
        <w:t>It will also give us time to develop the relevant policies, processes and staff training required for wider roll-out and will reduce the risk of widespread adverse effects. In addition</w:t>
      </w:r>
      <w:r w:rsidR="644042AE">
        <w:t>,</w:t>
      </w:r>
      <w:r w:rsidR="4886A14C">
        <w:t xml:space="preserve"> it will </w:t>
      </w:r>
      <w:r w:rsidR="1460DDBA">
        <w:t>provide</w:t>
      </w:r>
      <w:r w:rsidR="4886A14C">
        <w:t xml:space="preserve"> more time to integrate </w:t>
      </w:r>
      <w:r w:rsidR="5F193E0D">
        <w:t xml:space="preserve">and test </w:t>
      </w:r>
      <w:r w:rsidR="4886A14C">
        <w:t xml:space="preserve">any </w:t>
      </w:r>
      <w:r w:rsidR="5F193E0D">
        <w:t xml:space="preserve">required technical </w:t>
      </w:r>
      <w:r w:rsidR="4886A14C">
        <w:t>systems across the partnership.</w:t>
      </w:r>
    </w:p>
    <w:p w14:paraId="6AC2C253" w14:textId="0AEB83CF" w:rsidR="005C5A31" w:rsidRDefault="5F193E0D" w:rsidP="0050AC8C">
      <w:r>
        <w:t xml:space="preserve">It is important that we collect student data over the forthcoming academic year (20/21) as this will form the basis of future predictive analyses. </w:t>
      </w:r>
      <w:r w:rsidR="5E843437">
        <w:t xml:space="preserve">This is </w:t>
      </w:r>
      <w:r w:rsidR="7BD37F10">
        <w:t>permissible</w:t>
      </w:r>
      <w:r w:rsidR="5E843437">
        <w:t xml:space="preserve"> under the current Brightspace Privacy Statement.</w:t>
      </w:r>
    </w:p>
    <w:p w14:paraId="5046180E" w14:textId="2DFC9A28" w:rsidR="005C5A31" w:rsidRDefault="40C1967A" w:rsidP="0050AC8C">
      <w:r>
        <w:t>In the context of the above, our specific recommendations for endorsement from QAEC are:</w:t>
      </w:r>
    </w:p>
    <w:p w14:paraId="013F1BC6" w14:textId="6CF66BE6" w:rsidR="005C5A31" w:rsidRDefault="59AE77B4" w:rsidP="009BB5BA">
      <w:pPr>
        <w:pStyle w:val="ListParagraph"/>
        <w:numPr>
          <w:ilvl w:val="0"/>
          <w:numId w:val="12"/>
        </w:numPr>
        <w:rPr>
          <w:rFonts w:eastAsiaTheme="minorEastAsia"/>
          <w:color w:val="000000" w:themeColor="text1"/>
        </w:rPr>
      </w:pPr>
      <w:r w:rsidRPr="0050AC8C">
        <w:t>The establishment of a</w:t>
      </w:r>
      <w:r w:rsidR="0D64EFE6" w:rsidRPr="0050AC8C">
        <w:t xml:space="preserve"> </w:t>
      </w:r>
      <w:r w:rsidR="00BB1782">
        <w:t>Learning Analytics</w:t>
      </w:r>
      <w:r w:rsidR="0D64EFE6" w:rsidRPr="0050AC8C">
        <w:t xml:space="preserve"> working group to advance the recommendations in this paper</w:t>
      </w:r>
      <w:r w:rsidR="2BF20953" w:rsidRPr="0050AC8C">
        <w:t xml:space="preserve"> which are to:</w:t>
      </w:r>
    </w:p>
    <w:p w14:paraId="6E455FEC" w14:textId="4995155C" w:rsidR="005C5A31" w:rsidRDefault="0C879B2B" w:rsidP="009BB5BA">
      <w:pPr>
        <w:pStyle w:val="ListParagraph"/>
        <w:numPr>
          <w:ilvl w:val="1"/>
          <w:numId w:val="12"/>
        </w:numPr>
        <w:rPr>
          <w:rFonts w:eastAsiaTheme="minorEastAsia"/>
          <w:color w:val="000000" w:themeColor="text1"/>
        </w:rPr>
      </w:pPr>
      <w:r w:rsidRPr="0050AC8C">
        <w:lastRenderedPageBreak/>
        <w:t>Identify and engage key stakeholder</w:t>
      </w:r>
    </w:p>
    <w:p w14:paraId="5BB92B37" w14:textId="7EBA3CC8" w:rsidR="005C5A31" w:rsidRDefault="5CC318C9" w:rsidP="009BB5BA">
      <w:pPr>
        <w:pStyle w:val="ListParagraph"/>
        <w:numPr>
          <w:ilvl w:val="1"/>
          <w:numId w:val="12"/>
        </w:numPr>
        <w:rPr>
          <w:color w:val="000000" w:themeColor="text1"/>
        </w:rPr>
      </w:pPr>
      <w:r>
        <w:t>Identify and engage potential pilot groups</w:t>
      </w:r>
    </w:p>
    <w:p w14:paraId="45E4F24F" w14:textId="21C06FF0" w:rsidR="005C5A31" w:rsidRDefault="780106F8" w:rsidP="009BB5BA">
      <w:pPr>
        <w:pStyle w:val="ListParagraph"/>
        <w:numPr>
          <w:ilvl w:val="1"/>
          <w:numId w:val="12"/>
        </w:numPr>
        <w:rPr>
          <w:rFonts w:eastAsiaTheme="minorEastAsia"/>
          <w:color w:val="000000" w:themeColor="text1"/>
        </w:rPr>
      </w:pPr>
      <w:r w:rsidRPr="0050AC8C">
        <w:t xml:space="preserve">Initiate and </w:t>
      </w:r>
      <w:r w:rsidR="0D64EFE6" w:rsidRPr="0050AC8C">
        <w:t xml:space="preserve">oversee a </w:t>
      </w:r>
      <w:r w:rsidR="764A5361" w:rsidRPr="0050AC8C">
        <w:t xml:space="preserve">robust </w:t>
      </w:r>
      <w:r w:rsidR="0D64EFE6" w:rsidRPr="0050AC8C">
        <w:t>research pilot</w:t>
      </w:r>
      <w:r w:rsidR="37AA53DA" w:rsidRPr="0050AC8C">
        <w:t xml:space="preserve"> </w:t>
      </w:r>
      <w:r w:rsidR="2D7A017F" w:rsidRPr="0050AC8C">
        <w:t>developed and managed through the LTA and which</w:t>
      </w:r>
      <w:r w:rsidR="37AA53DA" w:rsidRPr="0050AC8C">
        <w:t xml:space="preserve"> will report to QAEC in the first instance</w:t>
      </w:r>
    </w:p>
    <w:p w14:paraId="00DAA45B" w14:textId="5F43F5A3" w:rsidR="005C5A31" w:rsidRDefault="37AA53DA" w:rsidP="009BB5BA">
      <w:pPr>
        <w:pStyle w:val="ListParagraph"/>
        <w:numPr>
          <w:ilvl w:val="1"/>
          <w:numId w:val="12"/>
        </w:numPr>
        <w:rPr>
          <w:rFonts w:eastAsiaTheme="minorEastAsia"/>
          <w:color w:val="000000" w:themeColor="text1"/>
        </w:rPr>
      </w:pPr>
      <w:r w:rsidRPr="0050AC8C">
        <w:t>Advance the PIA for a revised Privacy Statement</w:t>
      </w:r>
    </w:p>
    <w:p w14:paraId="0DF8B428" w14:textId="404DF1D1" w:rsidR="005C5A31" w:rsidRDefault="7820FBE4" w:rsidP="009BB5BA">
      <w:pPr>
        <w:pStyle w:val="ListParagraph"/>
        <w:numPr>
          <w:ilvl w:val="1"/>
          <w:numId w:val="12"/>
        </w:numPr>
        <w:rPr>
          <w:rFonts w:eastAsiaTheme="minorEastAsia"/>
          <w:color w:val="000000" w:themeColor="text1"/>
        </w:rPr>
      </w:pPr>
      <w:r w:rsidRPr="0050AC8C">
        <w:t>Evaluate the impact of the pilot and disseminate the findings with recommendations.</w:t>
      </w:r>
    </w:p>
    <w:p w14:paraId="7ECA4D30" w14:textId="676E53B9" w:rsidR="005C5A31" w:rsidRDefault="34F97A12" w:rsidP="0050AC8C">
      <w:pPr>
        <w:ind w:left="720"/>
      </w:pPr>
      <w:r>
        <w:t xml:space="preserve">As the </w:t>
      </w:r>
      <w:r w:rsidR="7011C29D">
        <w:t>working group</w:t>
      </w:r>
      <w:r w:rsidR="05223C30">
        <w:t xml:space="preserve"> (</w:t>
      </w:r>
      <w:r w:rsidR="7011C29D">
        <w:t>and the purpose of the proposed work</w:t>
      </w:r>
      <w:r w:rsidR="6ACC2612">
        <w:t>)</w:t>
      </w:r>
      <w:r w:rsidR="7011C29D">
        <w:t xml:space="preserve"> is focused on </w:t>
      </w:r>
      <w:r w:rsidR="00BB1782">
        <w:t>Learning Analytics</w:t>
      </w:r>
      <w:r w:rsidR="7011C29D">
        <w:t xml:space="preserve"> to support students and enhance learning and teaching, </w:t>
      </w:r>
      <w:r w:rsidR="28FC034F">
        <w:t>it</w:t>
      </w:r>
      <w:r w:rsidR="000C0A63">
        <w:t xml:space="preserve"> is</w:t>
      </w:r>
      <w:r w:rsidR="28FC034F">
        <w:t xml:space="preserve"> </w:t>
      </w:r>
      <w:r w:rsidR="7C61B2AF">
        <w:t xml:space="preserve">proposed that membership is drawn from across the university with representation </w:t>
      </w:r>
      <w:r w:rsidR="06E3BF47">
        <w:t xml:space="preserve">including </w:t>
      </w:r>
      <w:r w:rsidR="7C61B2AF">
        <w:t>QAEC, HISA, LTA, LIS, EDU</w:t>
      </w:r>
      <w:r w:rsidR="428452D0">
        <w:t>, Student Records and Faculty and Academic Partner representatives.</w:t>
      </w:r>
    </w:p>
    <w:p w14:paraId="6BB3D318" w14:textId="18986C8C" w:rsidR="005C5A31" w:rsidRDefault="71C9BCEE" w:rsidP="08AF3269">
      <w:pPr>
        <w:pStyle w:val="ListParagraph"/>
        <w:numPr>
          <w:ilvl w:val="0"/>
          <w:numId w:val="12"/>
        </w:numPr>
        <w:rPr>
          <w:rFonts w:eastAsiaTheme="minorEastAsia"/>
          <w:color w:val="000000" w:themeColor="text1"/>
        </w:rPr>
      </w:pPr>
      <w:r>
        <w:t>Given the focus on student support and learning and teaching enhancement as outlined above, we propose that the working group is chaired by an appropriate senior member of staff</w:t>
      </w:r>
      <w:r w:rsidR="146F62A1">
        <w:t xml:space="preserve"> </w:t>
      </w:r>
      <w:r w:rsidR="206978A9">
        <w:t>with the work managed through the LTA.</w:t>
      </w:r>
    </w:p>
    <w:p w14:paraId="7A3ABDC8" w14:textId="071DB2AE" w:rsidR="005C5A31" w:rsidRDefault="3042EBCE" w:rsidP="0050AC8C">
      <w:r>
        <w:t>It is also recommended that we a</w:t>
      </w:r>
      <w:r w:rsidR="1C71B027">
        <w:t xml:space="preserve">dopt the Jisc ‘Code of practice for </w:t>
      </w:r>
      <w:r w:rsidR="00BB1782">
        <w:t>Learning Analytics</w:t>
      </w:r>
      <w:r w:rsidR="1C71B027">
        <w:t xml:space="preserve">’ in conjunction with </w:t>
      </w:r>
      <w:proofErr w:type="spellStart"/>
      <w:r w:rsidR="1C71B027">
        <w:t>Drachsler</w:t>
      </w:r>
      <w:proofErr w:type="spellEnd"/>
      <w:r w:rsidR="1C71B027">
        <w:t xml:space="preserve"> and Greller’s DELICATE ‘checklist for trusted </w:t>
      </w:r>
      <w:r w:rsidR="00BB1782">
        <w:t>Learning Analytics</w:t>
      </w:r>
      <w:r w:rsidR="1C71B027">
        <w:t>’ as a basis for moving forward</w:t>
      </w:r>
      <w:r w:rsidR="7B821D2C">
        <w:t>.</w:t>
      </w:r>
    </w:p>
    <w:p w14:paraId="5A90FFE0" w14:textId="0861F860" w:rsidR="005C5A31" w:rsidRDefault="454D557F">
      <w:r w:rsidRPr="0050AC8C">
        <w:t>Pa</w:t>
      </w:r>
      <w:r w:rsidR="0B10497D" w:rsidRPr="0050AC8C">
        <w:t>rallel</w:t>
      </w:r>
      <w:r w:rsidR="31BC74EC" w:rsidRPr="0050AC8C">
        <w:t xml:space="preserve"> activity will include d</w:t>
      </w:r>
      <w:r w:rsidR="0D64EFE6" w:rsidRPr="0050AC8C">
        <w:t>eveloping policies</w:t>
      </w:r>
      <w:r w:rsidR="60B8FDD0" w:rsidRPr="0050AC8C">
        <w:t xml:space="preserve">, processes and guidance and assessing the impact on staff in relation to awareness and upskilling </w:t>
      </w:r>
      <w:proofErr w:type="gramStart"/>
      <w:r w:rsidR="60B8FDD0" w:rsidRPr="0050AC8C">
        <w:t>in order to</w:t>
      </w:r>
      <w:proofErr w:type="gramEnd"/>
      <w:r w:rsidR="60B8FDD0" w:rsidRPr="0050AC8C">
        <w:t xml:space="preserve"> </w:t>
      </w:r>
      <w:r w:rsidR="17D327FF" w:rsidRPr="0050AC8C">
        <w:t xml:space="preserve">implement and maximise the impact of future </w:t>
      </w:r>
      <w:r w:rsidR="00BB1782">
        <w:t>Learning Analytics</w:t>
      </w:r>
      <w:r w:rsidR="17D327FF" w:rsidRPr="0050AC8C">
        <w:t xml:space="preserve"> initiatives.</w:t>
      </w:r>
    </w:p>
    <w:p w14:paraId="1FDBF8E6" w14:textId="1DB16DD1" w:rsidR="009270AA" w:rsidRDefault="009270AA" w:rsidP="005C5A31">
      <w:pPr>
        <w:pStyle w:val="Heading1"/>
      </w:pPr>
      <w:r>
        <w:t>Authors:</w:t>
      </w:r>
    </w:p>
    <w:p w14:paraId="4BED156B" w14:textId="1FA82E30" w:rsidR="009270AA" w:rsidRDefault="009270AA" w:rsidP="009270AA">
      <w:pPr>
        <w:spacing w:after="200" w:line="240" w:lineRule="auto"/>
        <w:rPr>
          <w:rFonts w:ascii="Calibri" w:eastAsia="Calibri" w:hAnsi="Calibri" w:cs="Calibri"/>
          <w:sz w:val="24"/>
          <w:szCs w:val="24"/>
          <w:lang w:val="en-IE"/>
        </w:rPr>
      </w:pPr>
      <w:r>
        <w:rPr>
          <w:rFonts w:ascii="Calibri" w:eastAsia="Calibri" w:hAnsi="Calibri" w:cs="Calibri"/>
          <w:sz w:val="24"/>
          <w:szCs w:val="24"/>
          <w:lang w:val="en-IE"/>
        </w:rPr>
        <w:t>Scott Connor – Digital and open Education Lead, LTA, UHI</w:t>
      </w:r>
    </w:p>
    <w:p w14:paraId="3F90EEA8" w14:textId="7D6FA51E" w:rsidR="009270AA" w:rsidRDefault="009270AA" w:rsidP="009270AA">
      <w:pPr>
        <w:spacing w:after="200" w:line="240" w:lineRule="auto"/>
        <w:rPr>
          <w:rFonts w:ascii="Calibri" w:eastAsia="Calibri" w:hAnsi="Calibri" w:cs="Calibri"/>
          <w:sz w:val="24"/>
          <w:szCs w:val="24"/>
          <w:lang w:val="en-IE"/>
        </w:rPr>
      </w:pPr>
      <w:r>
        <w:rPr>
          <w:rFonts w:ascii="Calibri" w:eastAsia="Calibri" w:hAnsi="Calibri" w:cs="Calibri"/>
          <w:sz w:val="24"/>
          <w:szCs w:val="24"/>
          <w:lang w:val="en-IE"/>
        </w:rPr>
        <w:t>Prof. Keith Smyth – Head of the LTA and Professor of Pedagogy, LTA, UHI</w:t>
      </w:r>
    </w:p>
    <w:p w14:paraId="779646FC" w14:textId="0E665A80" w:rsidR="009270AA" w:rsidRDefault="009270AA" w:rsidP="009270AA">
      <w:pPr>
        <w:spacing w:after="200" w:line="240" w:lineRule="auto"/>
        <w:rPr>
          <w:rFonts w:eastAsiaTheme="minorEastAsia"/>
          <w:sz w:val="24"/>
          <w:szCs w:val="24"/>
        </w:rPr>
      </w:pPr>
      <w:r w:rsidRPr="0050AC8C">
        <w:rPr>
          <w:rFonts w:ascii="Calibri" w:eastAsia="Calibri" w:hAnsi="Calibri" w:cs="Calibri"/>
          <w:sz w:val="24"/>
          <w:szCs w:val="24"/>
          <w:lang w:val="en-IE"/>
        </w:rPr>
        <w:t xml:space="preserve">John Smith – Head of Integrated Technologies and Resources, </w:t>
      </w:r>
      <w:r>
        <w:rPr>
          <w:rFonts w:ascii="Calibri" w:eastAsia="Calibri" w:hAnsi="Calibri" w:cs="Calibri"/>
          <w:sz w:val="24"/>
          <w:szCs w:val="24"/>
          <w:lang w:val="en-IE"/>
        </w:rPr>
        <w:t xml:space="preserve">LIS, </w:t>
      </w:r>
      <w:r w:rsidRPr="0050AC8C">
        <w:rPr>
          <w:rFonts w:ascii="Calibri" w:eastAsia="Calibri" w:hAnsi="Calibri" w:cs="Calibri"/>
          <w:sz w:val="24"/>
          <w:szCs w:val="24"/>
          <w:lang w:val="en-IE"/>
        </w:rPr>
        <w:t>UHI</w:t>
      </w:r>
    </w:p>
    <w:p w14:paraId="49C69071" w14:textId="0CA075B4" w:rsidR="005C5A31" w:rsidRDefault="005C5A31" w:rsidP="005C5A31">
      <w:pPr>
        <w:pStyle w:val="Heading1"/>
      </w:pPr>
      <w:r>
        <w:t>References</w:t>
      </w:r>
    </w:p>
    <w:p w14:paraId="098428A3" w14:textId="3C038869" w:rsidR="005C1111" w:rsidRPr="0078497D" w:rsidRDefault="005C1111" w:rsidP="0078497D">
      <w:proofErr w:type="spellStart"/>
      <w:r w:rsidRPr="0078497D">
        <w:t>Drachsler</w:t>
      </w:r>
      <w:proofErr w:type="spellEnd"/>
      <w:r w:rsidRPr="0078497D">
        <w:t xml:space="preserve">, H. &amp; Greller, W. (2016). Privacy and Analytics – </w:t>
      </w:r>
      <w:proofErr w:type="gramStart"/>
      <w:r w:rsidRPr="0078497D">
        <w:t>it's</w:t>
      </w:r>
      <w:proofErr w:type="gramEnd"/>
      <w:r w:rsidRPr="0078497D">
        <w:t xml:space="preserve"> a DELICATE Issue. A Checklist for Trusted </w:t>
      </w:r>
      <w:r w:rsidR="00BB1782">
        <w:t>Learning Analytics</w:t>
      </w:r>
      <w:r w:rsidRPr="0078497D">
        <w:t xml:space="preserve">. </w:t>
      </w:r>
      <w:hyperlink r:id="rId13">
        <w:r w:rsidRPr="0050AC8C">
          <w:rPr>
            <w:rStyle w:val="epub-sectiontitle"/>
            <w:color w:val="0000FF"/>
            <w:u w:val="single"/>
          </w:rPr>
          <w:t xml:space="preserve">LAK '16: Proceedings of the Sixth International Conference on </w:t>
        </w:r>
        <w:r w:rsidR="00BB1782">
          <w:rPr>
            <w:rStyle w:val="epub-sectiontitle"/>
            <w:color w:val="0000FF"/>
            <w:u w:val="single"/>
          </w:rPr>
          <w:t>Learning Analytics</w:t>
        </w:r>
        <w:r w:rsidRPr="0050AC8C">
          <w:rPr>
            <w:rStyle w:val="epub-sectiontitle"/>
            <w:color w:val="0000FF"/>
            <w:u w:val="single"/>
          </w:rPr>
          <w:t xml:space="preserve"> &amp; Knowledge</w:t>
        </w:r>
      </w:hyperlink>
      <w:r w:rsidR="21BF4820" w:rsidRPr="0050AC8C">
        <w:rPr>
          <w:rStyle w:val="epub-sectiondate"/>
        </w:rPr>
        <w:t xml:space="preserve"> </w:t>
      </w:r>
      <w:r w:rsidRPr="0050AC8C">
        <w:rPr>
          <w:rStyle w:val="epub-sectiondate"/>
        </w:rPr>
        <w:t xml:space="preserve">April 2016 </w:t>
      </w:r>
      <w:r w:rsidRPr="0050AC8C">
        <w:rPr>
          <w:rStyle w:val="epub-sectionpagerange"/>
        </w:rPr>
        <w:t xml:space="preserve">Pages 89–98 </w:t>
      </w:r>
      <w:hyperlink r:id="rId14">
        <w:r w:rsidRPr="0050AC8C">
          <w:rPr>
            <w:rStyle w:val="Hyperlink"/>
          </w:rPr>
          <w:t>https://doi.org/10.1145/2883851.2883893</w:t>
        </w:r>
      </w:hyperlink>
    </w:p>
    <w:p w14:paraId="034FA620" w14:textId="6B2FAE06" w:rsidR="0D0E7066" w:rsidRDefault="0D0E7066" w:rsidP="0050AC8C">
      <w:r>
        <w:t xml:space="preserve">EDUCAUSE (2020).  2020 EDUCAUSE Horizon Report. [Available from] </w:t>
      </w:r>
      <w:hyperlink r:id="rId15">
        <w:r w:rsidRPr="0050AC8C">
          <w:rPr>
            <w:rStyle w:val="Hyperlink"/>
          </w:rPr>
          <w:t>https://library.educause.edu/resources/2020/3/2020-educause-horizon-report-teaching-and-learning-edition</w:t>
        </w:r>
      </w:hyperlink>
      <w:r>
        <w:t xml:space="preserve"> [last accessed] 19 August 2020.</w:t>
      </w:r>
    </w:p>
    <w:p w14:paraId="0418B50B" w14:textId="7C0C4EF8" w:rsidR="00E30B25" w:rsidRPr="0078497D" w:rsidRDefault="00E30B25" w:rsidP="0078497D">
      <w:pPr>
        <w:rPr>
          <w:rFonts w:eastAsia="Times New Roman"/>
          <w:lang w:val="en-IE" w:eastAsia="en-IE"/>
        </w:rPr>
      </w:pPr>
      <w:proofErr w:type="spellStart"/>
      <w:r w:rsidRPr="0078497D">
        <w:rPr>
          <w:rFonts w:eastAsia="Times New Roman"/>
          <w:lang w:val="en-IE" w:eastAsia="en-IE"/>
        </w:rPr>
        <w:t>Eynon</w:t>
      </w:r>
      <w:proofErr w:type="spellEnd"/>
      <w:r w:rsidR="005C1111" w:rsidRPr="0078497D">
        <w:rPr>
          <w:rFonts w:eastAsia="Times New Roman"/>
          <w:lang w:val="en-IE" w:eastAsia="en-IE"/>
        </w:rPr>
        <w:t>, R.</w:t>
      </w:r>
      <w:r w:rsidRPr="0078497D">
        <w:rPr>
          <w:rFonts w:eastAsia="Times New Roman"/>
          <w:lang w:val="en-IE" w:eastAsia="en-IE"/>
        </w:rPr>
        <w:t xml:space="preserve"> (2013) The rise of Big Data: what does it mean for education, technology, and media </w:t>
      </w:r>
      <w:proofErr w:type="gramStart"/>
      <w:r w:rsidRPr="0078497D">
        <w:rPr>
          <w:rFonts w:eastAsia="Times New Roman"/>
          <w:lang w:val="en-IE" w:eastAsia="en-IE"/>
        </w:rPr>
        <w:t>research?,</w:t>
      </w:r>
      <w:proofErr w:type="gramEnd"/>
      <w:r w:rsidRPr="0078497D">
        <w:rPr>
          <w:rFonts w:eastAsia="Times New Roman"/>
          <w:lang w:val="en-IE" w:eastAsia="en-IE"/>
        </w:rPr>
        <w:t xml:space="preserve"> Learning, Media and Technology, 38:3, 237-240, DOI: </w:t>
      </w:r>
      <w:hyperlink r:id="rId16">
        <w:r w:rsidRPr="0078497D">
          <w:rPr>
            <w:rFonts w:eastAsia="Times New Roman"/>
            <w:color w:val="0000FF"/>
            <w:u w:val="single"/>
            <w:lang w:val="en-IE" w:eastAsia="en-IE"/>
          </w:rPr>
          <w:t>10.1080/17439884.2013.771783</w:t>
        </w:r>
      </w:hyperlink>
      <w:r w:rsidRPr="0078497D">
        <w:rPr>
          <w:rFonts w:eastAsia="Times New Roman"/>
          <w:lang w:val="en-IE" w:eastAsia="en-IE"/>
        </w:rPr>
        <w:t xml:space="preserve"> </w:t>
      </w:r>
    </w:p>
    <w:p w14:paraId="3A852AA9" w14:textId="6284D960" w:rsidR="00EF5B66" w:rsidRPr="0078497D" w:rsidRDefault="00EF5B66" w:rsidP="0078497D">
      <w:r w:rsidRPr="00D92506">
        <w:rPr>
          <w:rFonts w:cstheme="minorHAnsi"/>
        </w:rPr>
        <w:t>Ferguson,</w:t>
      </w:r>
      <w:r w:rsidR="00AB1251" w:rsidRPr="00D92506">
        <w:rPr>
          <w:rFonts w:cstheme="minorHAnsi"/>
        </w:rPr>
        <w:t xml:space="preserve"> R</w:t>
      </w:r>
      <w:r w:rsidR="00AB1251" w:rsidRPr="0078497D">
        <w:t xml:space="preserve">. </w:t>
      </w:r>
      <w:r w:rsidRPr="0078497D">
        <w:t xml:space="preserve">&amp; </w:t>
      </w:r>
      <w:r w:rsidRPr="00D92506">
        <w:rPr>
          <w:rFonts w:cstheme="minorHAnsi"/>
        </w:rPr>
        <w:t>Clow, D.</w:t>
      </w:r>
      <w:r w:rsidRPr="0078497D">
        <w:t xml:space="preserve"> (2017). </w:t>
      </w:r>
      <w:r w:rsidR="00BB1782">
        <w:t>Learning Analytics</w:t>
      </w:r>
      <w:r w:rsidRPr="0078497D">
        <w:t xml:space="preserve">: Avoiding Failure. </w:t>
      </w:r>
      <w:r w:rsidRPr="0078497D">
        <w:rPr>
          <w:i/>
          <w:iCs/>
        </w:rPr>
        <w:t>Educause Review Online</w:t>
      </w:r>
      <w:r w:rsidRPr="0078497D">
        <w:t>, 31.07.2017</w:t>
      </w:r>
    </w:p>
    <w:p w14:paraId="107313BE" w14:textId="579D46F1" w:rsidR="005E7EA1" w:rsidRPr="0078497D" w:rsidRDefault="005E7EA1" w:rsidP="0078497D">
      <w:proofErr w:type="spellStart"/>
      <w:r w:rsidRPr="0078497D">
        <w:t>Rientes</w:t>
      </w:r>
      <w:proofErr w:type="spellEnd"/>
      <w:r w:rsidRPr="0078497D">
        <w:t xml:space="preserve">, B (2020). </w:t>
      </w:r>
      <w:r w:rsidR="00BB1782">
        <w:t>Learning Analytics</w:t>
      </w:r>
      <w:r w:rsidR="00623045" w:rsidRPr="0078497D">
        <w:t xml:space="preserve"> adoption in Higher education: reviewing six years of experience at the Open University UK. Online webinar. 11 June 2020.</w:t>
      </w:r>
    </w:p>
    <w:p w14:paraId="7EA55B87" w14:textId="2DADED3A" w:rsidR="00E1520C" w:rsidRPr="0078497D" w:rsidRDefault="00E1520C" w:rsidP="0078497D">
      <w:pPr>
        <w:rPr>
          <w:rStyle w:val="selectable"/>
          <w:rFonts w:cstheme="minorHAnsi"/>
          <w:color w:val="000000"/>
        </w:rPr>
      </w:pPr>
      <w:proofErr w:type="spellStart"/>
      <w:r w:rsidRPr="0078497D">
        <w:rPr>
          <w:rStyle w:val="selectable"/>
          <w:rFonts w:cstheme="minorHAnsi"/>
          <w:color w:val="000000"/>
        </w:rPr>
        <w:t>Sclater</w:t>
      </w:r>
      <w:proofErr w:type="spellEnd"/>
      <w:r w:rsidRPr="0078497D">
        <w:rPr>
          <w:rStyle w:val="selectable"/>
          <w:rFonts w:cstheme="minorHAnsi"/>
          <w:color w:val="000000"/>
        </w:rPr>
        <w:t xml:space="preserve">, N. (2016). Developing a code of practice for </w:t>
      </w:r>
      <w:r w:rsidR="00BB1782">
        <w:rPr>
          <w:rStyle w:val="selectable"/>
          <w:rFonts w:cstheme="minorHAnsi"/>
          <w:color w:val="000000"/>
        </w:rPr>
        <w:t>Learning Analytics</w:t>
      </w:r>
      <w:r w:rsidRPr="0078497D">
        <w:rPr>
          <w:rStyle w:val="selectable"/>
          <w:rFonts w:cstheme="minorHAnsi"/>
          <w:color w:val="000000"/>
        </w:rPr>
        <w:t xml:space="preserve">. </w:t>
      </w:r>
      <w:r w:rsidRPr="0078497D">
        <w:rPr>
          <w:rStyle w:val="selectable"/>
          <w:rFonts w:cstheme="minorHAnsi"/>
          <w:i/>
          <w:iCs/>
          <w:color w:val="000000"/>
        </w:rPr>
        <w:t xml:space="preserve">Journal of </w:t>
      </w:r>
      <w:r w:rsidR="00BB1782">
        <w:rPr>
          <w:rStyle w:val="selectable"/>
          <w:rFonts w:cstheme="minorHAnsi"/>
          <w:i/>
          <w:iCs/>
          <w:color w:val="000000"/>
        </w:rPr>
        <w:t>Learning Analytics</w:t>
      </w:r>
      <w:r w:rsidRPr="0078497D">
        <w:rPr>
          <w:rStyle w:val="selectable"/>
          <w:rFonts w:cstheme="minorHAnsi"/>
          <w:color w:val="000000"/>
        </w:rPr>
        <w:t>, pp.16-42.</w:t>
      </w:r>
    </w:p>
    <w:p w14:paraId="63D3E983" w14:textId="3C323CE3" w:rsidR="00803A65" w:rsidRPr="0078497D" w:rsidRDefault="00803A65" w:rsidP="0078497D">
      <w:proofErr w:type="spellStart"/>
      <w:r w:rsidRPr="0078497D">
        <w:lastRenderedPageBreak/>
        <w:t>Sclater</w:t>
      </w:r>
      <w:proofErr w:type="spellEnd"/>
      <w:r w:rsidRPr="0078497D">
        <w:t>, N</w:t>
      </w:r>
      <w:r w:rsidR="00E1520C" w:rsidRPr="0078497D">
        <w:t xml:space="preserve">. </w:t>
      </w:r>
      <w:r w:rsidRPr="0078497D">
        <w:t xml:space="preserve">(2018). Code of Practice for </w:t>
      </w:r>
      <w:r w:rsidR="00BB1782">
        <w:t>Learning Analytics</w:t>
      </w:r>
      <w:r w:rsidRPr="0078497D">
        <w:t xml:space="preserve">. </w:t>
      </w:r>
      <w:r w:rsidR="00E1520C" w:rsidRPr="0078497D">
        <w:t xml:space="preserve">Jisc. [Available from] </w:t>
      </w:r>
      <w:hyperlink r:id="rId17" w:history="1">
        <w:r w:rsidR="00E1520C" w:rsidRPr="0078497D">
          <w:rPr>
            <w:rStyle w:val="Hyperlink"/>
            <w:rFonts w:cstheme="minorHAnsi"/>
          </w:rPr>
          <w:t>https://www.jisc.ac.uk/guides/code-of-practice-for-learning-analytics</w:t>
        </w:r>
      </w:hyperlink>
      <w:r w:rsidR="00E1520C" w:rsidRPr="0078497D">
        <w:t>. [Last accessed] 10 June 2020</w:t>
      </w:r>
    </w:p>
    <w:p w14:paraId="62A29BD6" w14:textId="0D744826" w:rsidR="00B419E0" w:rsidRPr="0078497D" w:rsidRDefault="00B419E0" w:rsidP="0078497D">
      <w:proofErr w:type="spellStart"/>
      <w:r w:rsidRPr="0078497D">
        <w:t>Schlappy</w:t>
      </w:r>
      <w:proofErr w:type="spellEnd"/>
      <w:r w:rsidRPr="0078497D">
        <w:t>, M-L</w:t>
      </w:r>
      <w:r w:rsidR="005C1111" w:rsidRPr="0078497D">
        <w:t>.</w:t>
      </w:r>
      <w:r w:rsidRPr="0078497D">
        <w:t xml:space="preserve"> (2016). </w:t>
      </w:r>
      <w:r w:rsidR="00BB1782">
        <w:t>Learning Analytics</w:t>
      </w:r>
      <w:r w:rsidRPr="0078497D">
        <w:t xml:space="preserve"> at the University of the Highlands and Islands.</w:t>
      </w:r>
    </w:p>
    <w:p w14:paraId="6B2F60FF" w14:textId="7267BC19" w:rsidR="00B419E0" w:rsidRPr="0078497D" w:rsidRDefault="00B419E0" w:rsidP="0078497D">
      <w:r w:rsidRPr="0078497D">
        <w:t>Smith, J</w:t>
      </w:r>
      <w:r w:rsidR="005C1111" w:rsidRPr="0078497D">
        <w:t>. &amp;</w:t>
      </w:r>
      <w:r w:rsidRPr="0078497D">
        <w:t xml:space="preserve"> Rennie, F</w:t>
      </w:r>
      <w:r w:rsidR="00E1520C" w:rsidRPr="0078497D">
        <w:t>.</w:t>
      </w:r>
      <w:r w:rsidRPr="0078497D">
        <w:t xml:space="preserve"> (2018). Report from an Erasmus+ knowledge exchange visit to the University of Vienna. 14 – 17 December 2018.</w:t>
      </w:r>
    </w:p>
    <w:p w14:paraId="452B3A3B" w14:textId="2632B60E" w:rsidR="00B419E0" w:rsidRDefault="00B419E0" w:rsidP="0078497D">
      <w:r>
        <w:t>Smyth, K</w:t>
      </w:r>
      <w:r w:rsidR="005C1111">
        <w:t>.</w:t>
      </w:r>
      <w:r>
        <w:t xml:space="preserve"> (2018). Linking engagement indicators to supportive interventions. Paper presented at QAA Scotland 15</w:t>
      </w:r>
      <w:r w:rsidRPr="00B419E0">
        <w:rPr>
          <w:vertAlign w:val="superscript"/>
        </w:rPr>
        <w:t>th</w:t>
      </w:r>
      <w:r>
        <w:t xml:space="preserve"> enhancement Conference – evaluation, Evidence and Enhancement Inspiring Staff and Students. Glasgow Caledonian University, 7</w:t>
      </w:r>
      <w:r w:rsidRPr="00B419E0">
        <w:rPr>
          <w:vertAlign w:val="superscript"/>
        </w:rPr>
        <w:t>th</w:t>
      </w:r>
      <w:r>
        <w:t xml:space="preserve"> June 2018</w:t>
      </w:r>
      <w:r w:rsidR="53324D08">
        <w:t>.</w:t>
      </w:r>
    </w:p>
    <w:p w14:paraId="074D0497" w14:textId="50EE38BB" w:rsidR="00B419E0" w:rsidRDefault="6DC55A19" w:rsidP="0050AC8C">
      <w:r>
        <w:t xml:space="preserve">UHI (2020). Brightspace Data Privacy Notice. [Available form] </w:t>
      </w:r>
      <w:hyperlink r:id="rId18">
        <w:r w:rsidRPr="0050AC8C">
          <w:rPr>
            <w:rStyle w:val="Hyperlink"/>
          </w:rPr>
          <w:t>https://www.uhi.ac.uk/en/t4-media/one-web/university/privacy-notices/privacy-notice-brightspace-30-06-2020.pdf</w:t>
        </w:r>
      </w:hyperlink>
      <w:r>
        <w:t>. [Last accessed] 19 August 2020.</w:t>
      </w:r>
    </w:p>
    <w:sectPr w:rsidR="00B419E0">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B4E06" w14:textId="77777777" w:rsidR="005042A2" w:rsidRDefault="005042A2" w:rsidP="004B2E7D">
      <w:pPr>
        <w:spacing w:after="0" w:line="240" w:lineRule="auto"/>
      </w:pPr>
      <w:r>
        <w:separator/>
      </w:r>
    </w:p>
  </w:endnote>
  <w:endnote w:type="continuationSeparator" w:id="0">
    <w:p w14:paraId="64B9D0AB" w14:textId="77777777" w:rsidR="005042A2" w:rsidRDefault="005042A2" w:rsidP="004B2E7D">
      <w:pPr>
        <w:spacing w:after="0" w:line="240" w:lineRule="auto"/>
      </w:pPr>
      <w:r>
        <w:continuationSeparator/>
      </w:r>
    </w:p>
  </w:endnote>
  <w:endnote w:type="continuationNotice" w:id="1">
    <w:p w14:paraId="2353AB81" w14:textId="77777777" w:rsidR="005042A2" w:rsidRDefault="005042A2">
      <w:pPr>
        <w:spacing w:after="0" w:line="240" w:lineRule="auto"/>
      </w:pPr>
    </w:p>
  </w:endnote>
  <w:endnote w:id="2">
    <w:p w14:paraId="31148ADB" w14:textId="77777777" w:rsidR="006F4FBD" w:rsidRPr="009270AA" w:rsidRDefault="006F4FBD" w:rsidP="009270A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F6AE" w14:textId="77777777" w:rsidR="005042A2" w:rsidRDefault="005042A2" w:rsidP="004B2E7D">
      <w:pPr>
        <w:spacing w:after="0" w:line="240" w:lineRule="auto"/>
      </w:pPr>
      <w:r>
        <w:separator/>
      </w:r>
    </w:p>
  </w:footnote>
  <w:footnote w:type="continuationSeparator" w:id="0">
    <w:p w14:paraId="31A40357" w14:textId="77777777" w:rsidR="005042A2" w:rsidRDefault="005042A2" w:rsidP="004B2E7D">
      <w:pPr>
        <w:spacing w:after="0" w:line="240" w:lineRule="auto"/>
      </w:pPr>
      <w:r>
        <w:continuationSeparator/>
      </w:r>
    </w:p>
  </w:footnote>
  <w:footnote w:type="continuationNotice" w:id="1">
    <w:p w14:paraId="157478C6" w14:textId="77777777" w:rsidR="005042A2" w:rsidRDefault="005042A2">
      <w:pPr>
        <w:spacing w:after="0" w:line="240" w:lineRule="auto"/>
      </w:pPr>
    </w:p>
  </w:footnote>
  <w:footnote w:id="2">
    <w:p w14:paraId="69ADE233" w14:textId="77777777" w:rsidR="0046754E" w:rsidRDefault="0046754E" w:rsidP="003165DE">
      <w:pPr>
        <w:pStyle w:val="FootnoteText"/>
      </w:pPr>
      <w:r>
        <w:rPr>
          <w:rStyle w:val="FootnoteReference"/>
        </w:rPr>
        <w:footnoteRef/>
      </w:r>
      <w:r>
        <w:t xml:space="preserve"> </w:t>
      </w:r>
      <w:r w:rsidRPr="004B2E7D">
        <w:t>https://www.solaresearch.org/about/what-is-learning-analytics/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2965" w14:textId="1DE44A30" w:rsidR="005C3620" w:rsidRPr="005C3620" w:rsidRDefault="005C3620" w:rsidP="005C3620">
    <w:pPr>
      <w:pStyle w:val="Header"/>
      <w:jc w:val="right"/>
      <w:rPr>
        <w:rFonts w:ascii="Arial" w:hAnsi="Arial" w:cs="Arial"/>
        <w:sz w:val="48"/>
        <w:szCs w:val="48"/>
      </w:rPr>
    </w:pPr>
    <w:r w:rsidRPr="005C3620">
      <w:rPr>
        <w:rFonts w:ascii="Arial" w:hAnsi="Arial" w:cs="Arial"/>
        <w:sz w:val="48"/>
        <w:szCs w:val="48"/>
      </w:rPr>
      <w:t>QAEC20-</w:t>
    </w:r>
    <w:r w:rsidR="00A42337">
      <w:rPr>
        <w:rFonts w:ascii="Arial" w:hAnsi="Arial" w:cs="Arial"/>
        <w:sz w:val="48"/>
        <w:szCs w:val="48"/>
      </w:rPr>
      <w:t>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0FA9"/>
    <w:multiLevelType w:val="hybridMultilevel"/>
    <w:tmpl w:val="FFFFFFFF"/>
    <w:lvl w:ilvl="0" w:tplc="E638794C">
      <w:start w:val="1"/>
      <w:numFmt w:val="bullet"/>
      <w:lvlText w:val=""/>
      <w:lvlJc w:val="left"/>
      <w:pPr>
        <w:ind w:left="720" w:hanging="360"/>
      </w:pPr>
      <w:rPr>
        <w:rFonts w:ascii="Symbol" w:hAnsi="Symbol" w:hint="default"/>
      </w:rPr>
    </w:lvl>
    <w:lvl w:ilvl="1" w:tplc="F6F2683E">
      <w:start w:val="1"/>
      <w:numFmt w:val="bullet"/>
      <w:lvlText w:val="o"/>
      <w:lvlJc w:val="left"/>
      <w:pPr>
        <w:ind w:left="1440" w:hanging="360"/>
      </w:pPr>
      <w:rPr>
        <w:rFonts w:ascii="Courier New" w:hAnsi="Courier New" w:hint="default"/>
      </w:rPr>
    </w:lvl>
    <w:lvl w:ilvl="2" w:tplc="B32AFAC8">
      <w:start w:val="1"/>
      <w:numFmt w:val="bullet"/>
      <w:lvlText w:val=""/>
      <w:lvlJc w:val="left"/>
      <w:pPr>
        <w:ind w:left="2160" w:hanging="360"/>
      </w:pPr>
      <w:rPr>
        <w:rFonts w:ascii="Wingdings" w:hAnsi="Wingdings" w:hint="default"/>
      </w:rPr>
    </w:lvl>
    <w:lvl w:ilvl="3" w:tplc="7E9E1AF8">
      <w:start w:val="1"/>
      <w:numFmt w:val="bullet"/>
      <w:lvlText w:val=""/>
      <w:lvlJc w:val="left"/>
      <w:pPr>
        <w:ind w:left="2880" w:hanging="360"/>
      </w:pPr>
      <w:rPr>
        <w:rFonts w:ascii="Symbol" w:hAnsi="Symbol" w:hint="default"/>
      </w:rPr>
    </w:lvl>
    <w:lvl w:ilvl="4" w:tplc="20E8D2DA">
      <w:start w:val="1"/>
      <w:numFmt w:val="bullet"/>
      <w:lvlText w:val="o"/>
      <w:lvlJc w:val="left"/>
      <w:pPr>
        <w:ind w:left="3600" w:hanging="360"/>
      </w:pPr>
      <w:rPr>
        <w:rFonts w:ascii="Courier New" w:hAnsi="Courier New" w:hint="default"/>
      </w:rPr>
    </w:lvl>
    <w:lvl w:ilvl="5" w:tplc="B6821B0C">
      <w:start w:val="1"/>
      <w:numFmt w:val="bullet"/>
      <w:lvlText w:val=""/>
      <w:lvlJc w:val="left"/>
      <w:pPr>
        <w:ind w:left="4320" w:hanging="360"/>
      </w:pPr>
      <w:rPr>
        <w:rFonts w:ascii="Wingdings" w:hAnsi="Wingdings" w:hint="default"/>
      </w:rPr>
    </w:lvl>
    <w:lvl w:ilvl="6" w:tplc="200482AA">
      <w:start w:val="1"/>
      <w:numFmt w:val="bullet"/>
      <w:lvlText w:val=""/>
      <w:lvlJc w:val="left"/>
      <w:pPr>
        <w:ind w:left="5040" w:hanging="360"/>
      </w:pPr>
      <w:rPr>
        <w:rFonts w:ascii="Symbol" w:hAnsi="Symbol" w:hint="default"/>
      </w:rPr>
    </w:lvl>
    <w:lvl w:ilvl="7" w:tplc="1DA6ABEE">
      <w:start w:val="1"/>
      <w:numFmt w:val="bullet"/>
      <w:lvlText w:val="o"/>
      <w:lvlJc w:val="left"/>
      <w:pPr>
        <w:ind w:left="5760" w:hanging="360"/>
      </w:pPr>
      <w:rPr>
        <w:rFonts w:ascii="Courier New" w:hAnsi="Courier New" w:hint="default"/>
      </w:rPr>
    </w:lvl>
    <w:lvl w:ilvl="8" w:tplc="3F7A93A2">
      <w:start w:val="1"/>
      <w:numFmt w:val="bullet"/>
      <w:lvlText w:val=""/>
      <w:lvlJc w:val="left"/>
      <w:pPr>
        <w:ind w:left="6480" w:hanging="360"/>
      </w:pPr>
      <w:rPr>
        <w:rFonts w:ascii="Wingdings" w:hAnsi="Wingdings" w:hint="default"/>
      </w:rPr>
    </w:lvl>
  </w:abstractNum>
  <w:abstractNum w:abstractNumId="1" w15:restartNumberingAfterBreak="0">
    <w:nsid w:val="152A2BFA"/>
    <w:multiLevelType w:val="hybridMultilevel"/>
    <w:tmpl w:val="FFFFFFFF"/>
    <w:lvl w:ilvl="0" w:tplc="998041C0">
      <w:start w:val="1"/>
      <w:numFmt w:val="bullet"/>
      <w:lvlText w:val=""/>
      <w:lvlJc w:val="left"/>
      <w:pPr>
        <w:ind w:left="720" w:hanging="360"/>
      </w:pPr>
      <w:rPr>
        <w:rFonts w:ascii="Symbol" w:hAnsi="Symbol" w:hint="default"/>
      </w:rPr>
    </w:lvl>
    <w:lvl w:ilvl="1" w:tplc="CD7EE62A">
      <w:start w:val="1"/>
      <w:numFmt w:val="bullet"/>
      <w:lvlText w:val="o"/>
      <w:lvlJc w:val="left"/>
      <w:pPr>
        <w:ind w:left="1440" w:hanging="360"/>
      </w:pPr>
      <w:rPr>
        <w:rFonts w:ascii="Courier New" w:hAnsi="Courier New" w:hint="default"/>
      </w:rPr>
    </w:lvl>
    <w:lvl w:ilvl="2" w:tplc="9A6C9438">
      <w:start w:val="1"/>
      <w:numFmt w:val="bullet"/>
      <w:lvlText w:val=""/>
      <w:lvlJc w:val="left"/>
      <w:pPr>
        <w:ind w:left="2160" w:hanging="360"/>
      </w:pPr>
      <w:rPr>
        <w:rFonts w:ascii="Wingdings" w:hAnsi="Wingdings" w:hint="default"/>
      </w:rPr>
    </w:lvl>
    <w:lvl w:ilvl="3" w:tplc="B6D487D2">
      <w:start w:val="1"/>
      <w:numFmt w:val="bullet"/>
      <w:lvlText w:val=""/>
      <w:lvlJc w:val="left"/>
      <w:pPr>
        <w:ind w:left="2880" w:hanging="360"/>
      </w:pPr>
      <w:rPr>
        <w:rFonts w:ascii="Symbol" w:hAnsi="Symbol" w:hint="default"/>
      </w:rPr>
    </w:lvl>
    <w:lvl w:ilvl="4" w:tplc="0AE6837C">
      <w:start w:val="1"/>
      <w:numFmt w:val="bullet"/>
      <w:lvlText w:val="o"/>
      <w:lvlJc w:val="left"/>
      <w:pPr>
        <w:ind w:left="3600" w:hanging="360"/>
      </w:pPr>
      <w:rPr>
        <w:rFonts w:ascii="Courier New" w:hAnsi="Courier New" w:hint="default"/>
      </w:rPr>
    </w:lvl>
    <w:lvl w:ilvl="5" w:tplc="AFD65686">
      <w:start w:val="1"/>
      <w:numFmt w:val="bullet"/>
      <w:lvlText w:val=""/>
      <w:lvlJc w:val="left"/>
      <w:pPr>
        <w:ind w:left="4320" w:hanging="360"/>
      </w:pPr>
      <w:rPr>
        <w:rFonts w:ascii="Wingdings" w:hAnsi="Wingdings" w:hint="default"/>
      </w:rPr>
    </w:lvl>
    <w:lvl w:ilvl="6" w:tplc="E1A04418">
      <w:start w:val="1"/>
      <w:numFmt w:val="bullet"/>
      <w:lvlText w:val=""/>
      <w:lvlJc w:val="left"/>
      <w:pPr>
        <w:ind w:left="5040" w:hanging="360"/>
      </w:pPr>
      <w:rPr>
        <w:rFonts w:ascii="Symbol" w:hAnsi="Symbol" w:hint="default"/>
      </w:rPr>
    </w:lvl>
    <w:lvl w:ilvl="7" w:tplc="D0AE278A">
      <w:start w:val="1"/>
      <w:numFmt w:val="bullet"/>
      <w:lvlText w:val="o"/>
      <w:lvlJc w:val="left"/>
      <w:pPr>
        <w:ind w:left="5760" w:hanging="360"/>
      </w:pPr>
      <w:rPr>
        <w:rFonts w:ascii="Courier New" w:hAnsi="Courier New" w:hint="default"/>
      </w:rPr>
    </w:lvl>
    <w:lvl w:ilvl="8" w:tplc="3C04DBF0">
      <w:start w:val="1"/>
      <w:numFmt w:val="bullet"/>
      <w:lvlText w:val=""/>
      <w:lvlJc w:val="left"/>
      <w:pPr>
        <w:ind w:left="6480" w:hanging="360"/>
      </w:pPr>
      <w:rPr>
        <w:rFonts w:ascii="Wingdings" w:hAnsi="Wingdings" w:hint="default"/>
      </w:rPr>
    </w:lvl>
  </w:abstractNum>
  <w:abstractNum w:abstractNumId="2" w15:restartNumberingAfterBreak="0">
    <w:nsid w:val="15EF323D"/>
    <w:multiLevelType w:val="hybridMultilevel"/>
    <w:tmpl w:val="FFFFFFFF"/>
    <w:lvl w:ilvl="0" w:tplc="36166AF0">
      <w:start w:val="1"/>
      <w:numFmt w:val="bullet"/>
      <w:lvlText w:val=""/>
      <w:lvlJc w:val="left"/>
      <w:pPr>
        <w:ind w:left="720" w:hanging="360"/>
      </w:pPr>
      <w:rPr>
        <w:rFonts w:ascii="Symbol" w:hAnsi="Symbol" w:hint="default"/>
      </w:rPr>
    </w:lvl>
    <w:lvl w:ilvl="1" w:tplc="EB444A66">
      <w:start w:val="1"/>
      <w:numFmt w:val="bullet"/>
      <w:lvlText w:val="o"/>
      <w:lvlJc w:val="left"/>
      <w:pPr>
        <w:ind w:left="1440" w:hanging="360"/>
      </w:pPr>
      <w:rPr>
        <w:rFonts w:ascii="Courier New" w:hAnsi="Courier New" w:hint="default"/>
      </w:rPr>
    </w:lvl>
    <w:lvl w:ilvl="2" w:tplc="C40A39FE">
      <w:start w:val="1"/>
      <w:numFmt w:val="bullet"/>
      <w:lvlText w:val=""/>
      <w:lvlJc w:val="left"/>
      <w:pPr>
        <w:ind w:left="2160" w:hanging="360"/>
      </w:pPr>
      <w:rPr>
        <w:rFonts w:ascii="Wingdings" w:hAnsi="Wingdings" w:hint="default"/>
      </w:rPr>
    </w:lvl>
    <w:lvl w:ilvl="3" w:tplc="2C10D0E2">
      <w:start w:val="1"/>
      <w:numFmt w:val="bullet"/>
      <w:lvlText w:val=""/>
      <w:lvlJc w:val="left"/>
      <w:pPr>
        <w:ind w:left="2880" w:hanging="360"/>
      </w:pPr>
      <w:rPr>
        <w:rFonts w:ascii="Symbol" w:hAnsi="Symbol" w:hint="default"/>
      </w:rPr>
    </w:lvl>
    <w:lvl w:ilvl="4" w:tplc="11CAC0A2">
      <w:start w:val="1"/>
      <w:numFmt w:val="bullet"/>
      <w:lvlText w:val="o"/>
      <w:lvlJc w:val="left"/>
      <w:pPr>
        <w:ind w:left="3600" w:hanging="360"/>
      </w:pPr>
      <w:rPr>
        <w:rFonts w:ascii="Courier New" w:hAnsi="Courier New" w:hint="default"/>
      </w:rPr>
    </w:lvl>
    <w:lvl w:ilvl="5" w:tplc="790AFDF0">
      <w:start w:val="1"/>
      <w:numFmt w:val="bullet"/>
      <w:lvlText w:val=""/>
      <w:lvlJc w:val="left"/>
      <w:pPr>
        <w:ind w:left="4320" w:hanging="360"/>
      </w:pPr>
      <w:rPr>
        <w:rFonts w:ascii="Wingdings" w:hAnsi="Wingdings" w:hint="default"/>
      </w:rPr>
    </w:lvl>
    <w:lvl w:ilvl="6" w:tplc="6B889A92">
      <w:start w:val="1"/>
      <w:numFmt w:val="bullet"/>
      <w:lvlText w:val=""/>
      <w:lvlJc w:val="left"/>
      <w:pPr>
        <w:ind w:left="5040" w:hanging="360"/>
      </w:pPr>
      <w:rPr>
        <w:rFonts w:ascii="Symbol" w:hAnsi="Symbol" w:hint="default"/>
      </w:rPr>
    </w:lvl>
    <w:lvl w:ilvl="7" w:tplc="66809E32">
      <w:start w:val="1"/>
      <w:numFmt w:val="bullet"/>
      <w:lvlText w:val="o"/>
      <w:lvlJc w:val="left"/>
      <w:pPr>
        <w:ind w:left="5760" w:hanging="360"/>
      </w:pPr>
      <w:rPr>
        <w:rFonts w:ascii="Courier New" w:hAnsi="Courier New" w:hint="default"/>
      </w:rPr>
    </w:lvl>
    <w:lvl w:ilvl="8" w:tplc="5C7A3C78">
      <w:start w:val="1"/>
      <w:numFmt w:val="bullet"/>
      <w:lvlText w:val=""/>
      <w:lvlJc w:val="left"/>
      <w:pPr>
        <w:ind w:left="6480" w:hanging="360"/>
      </w:pPr>
      <w:rPr>
        <w:rFonts w:ascii="Wingdings" w:hAnsi="Wingdings" w:hint="default"/>
      </w:rPr>
    </w:lvl>
  </w:abstractNum>
  <w:abstractNum w:abstractNumId="3" w15:restartNumberingAfterBreak="0">
    <w:nsid w:val="17F96A3C"/>
    <w:multiLevelType w:val="hybridMultilevel"/>
    <w:tmpl w:val="FFFFFFFF"/>
    <w:lvl w:ilvl="0" w:tplc="78BE8C46">
      <w:start w:val="1"/>
      <w:numFmt w:val="bullet"/>
      <w:lvlText w:val=""/>
      <w:lvlJc w:val="left"/>
      <w:pPr>
        <w:ind w:left="720" w:hanging="360"/>
      </w:pPr>
      <w:rPr>
        <w:rFonts w:ascii="Symbol" w:hAnsi="Symbol" w:hint="default"/>
      </w:rPr>
    </w:lvl>
    <w:lvl w:ilvl="1" w:tplc="D7AC9A6A">
      <w:start w:val="1"/>
      <w:numFmt w:val="bullet"/>
      <w:lvlText w:val="o"/>
      <w:lvlJc w:val="left"/>
      <w:pPr>
        <w:ind w:left="1440" w:hanging="360"/>
      </w:pPr>
      <w:rPr>
        <w:rFonts w:ascii="Courier New" w:hAnsi="Courier New" w:hint="default"/>
      </w:rPr>
    </w:lvl>
    <w:lvl w:ilvl="2" w:tplc="53CC24D8">
      <w:start w:val="1"/>
      <w:numFmt w:val="bullet"/>
      <w:lvlText w:val=""/>
      <w:lvlJc w:val="left"/>
      <w:pPr>
        <w:ind w:left="2160" w:hanging="360"/>
      </w:pPr>
      <w:rPr>
        <w:rFonts w:ascii="Wingdings" w:hAnsi="Wingdings" w:hint="default"/>
      </w:rPr>
    </w:lvl>
    <w:lvl w:ilvl="3" w:tplc="F7C016A6">
      <w:start w:val="1"/>
      <w:numFmt w:val="bullet"/>
      <w:lvlText w:val=""/>
      <w:lvlJc w:val="left"/>
      <w:pPr>
        <w:ind w:left="2880" w:hanging="360"/>
      </w:pPr>
      <w:rPr>
        <w:rFonts w:ascii="Symbol" w:hAnsi="Symbol" w:hint="default"/>
      </w:rPr>
    </w:lvl>
    <w:lvl w:ilvl="4" w:tplc="60C26B08">
      <w:start w:val="1"/>
      <w:numFmt w:val="bullet"/>
      <w:lvlText w:val="o"/>
      <w:lvlJc w:val="left"/>
      <w:pPr>
        <w:ind w:left="3600" w:hanging="360"/>
      </w:pPr>
      <w:rPr>
        <w:rFonts w:ascii="Courier New" w:hAnsi="Courier New" w:hint="default"/>
      </w:rPr>
    </w:lvl>
    <w:lvl w:ilvl="5" w:tplc="9216EC62">
      <w:start w:val="1"/>
      <w:numFmt w:val="bullet"/>
      <w:lvlText w:val=""/>
      <w:lvlJc w:val="left"/>
      <w:pPr>
        <w:ind w:left="4320" w:hanging="360"/>
      </w:pPr>
      <w:rPr>
        <w:rFonts w:ascii="Wingdings" w:hAnsi="Wingdings" w:hint="default"/>
      </w:rPr>
    </w:lvl>
    <w:lvl w:ilvl="6" w:tplc="0622BC9C">
      <w:start w:val="1"/>
      <w:numFmt w:val="bullet"/>
      <w:lvlText w:val=""/>
      <w:lvlJc w:val="left"/>
      <w:pPr>
        <w:ind w:left="5040" w:hanging="360"/>
      </w:pPr>
      <w:rPr>
        <w:rFonts w:ascii="Symbol" w:hAnsi="Symbol" w:hint="default"/>
      </w:rPr>
    </w:lvl>
    <w:lvl w:ilvl="7" w:tplc="2F7E789E">
      <w:start w:val="1"/>
      <w:numFmt w:val="bullet"/>
      <w:lvlText w:val="o"/>
      <w:lvlJc w:val="left"/>
      <w:pPr>
        <w:ind w:left="5760" w:hanging="360"/>
      </w:pPr>
      <w:rPr>
        <w:rFonts w:ascii="Courier New" w:hAnsi="Courier New" w:hint="default"/>
      </w:rPr>
    </w:lvl>
    <w:lvl w:ilvl="8" w:tplc="DF986866">
      <w:start w:val="1"/>
      <w:numFmt w:val="bullet"/>
      <w:lvlText w:val=""/>
      <w:lvlJc w:val="left"/>
      <w:pPr>
        <w:ind w:left="6480" w:hanging="360"/>
      </w:pPr>
      <w:rPr>
        <w:rFonts w:ascii="Wingdings" w:hAnsi="Wingdings" w:hint="default"/>
      </w:rPr>
    </w:lvl>
  </w:abstractNum>
  <w:abstractNum w:abstractNumId="4" w15:restartNumberingAfterBreak="0">
    <w:nsid w:val="180A6429"/>
    <w:multiLevelType w:val="hybridMultilevel"/>
    <w:tmpl w:val="FFFFFFFF"/>
    <w:lvl w:ilvl="0" w:tplc="8F787F32">
      <w:start w:val="1"/>
      <w:numFmt w:val="bullet"/>
      <w:lvlText w:val=""/>
      <w:lvlJc w:val="left"/>
      <w:pPr>
        <w:ind w:left="720" w:hanging="360"/>
      </w:pPr>
      <w:rPr>
        <w:rFonts w:ascii="Symbol" w:hAnsi="Symbol" w:hint="default"/>
      </w:rPr>
    </w:lvl>
    <w:lvl w:ilvl="1" w:tplc="209C72DA">
      <w:start w:val="1"/>
      <w:numFmt w:val="bullet"/>
      <w:lvlText w:val="o"/>
      <w:lvlJc w:val="left"/>
      <w:pPr>
        <w:ind w:left="1440" w:hanging="360"/>
      </w:pPr>
      <w:rPr>
        <w:rFonts w:ascii="Courier New" w:hAnsi="Courier New" w:hint="default"/>
      </w:rPr>
    </w:lvl>
    <w:lvl w:ilvl="2" w:tplc="976A666A">
      <w:start w:val="1"/>
      <w:numFmt w:val="bullet"/>
      <w:lvlText w:val=""/>
      <w:lvlJc w:val="left"/>
      <w:pPr>
        <w:ind w:left="2160" w:hanging="360"/>
      </w:pPr>
      <w:rPr>
        <w:rFonts w:ascii="Wingdings" w:hAnsi="Wingdings" w:hint="default"/>
      </w:rPr>
    </w:lvl>
    <w:lvl w:ilvl="3" w:tplc="62AA9764">
      <w:start w:val="1"/>
      <w:numFmt w:val="bullet"/>
      <w:lvlText w:val=""/>
      <w:lvlJc w:val="left"/>
      <w:pPr>
        <w:ind w:left="2880" w:hanging="360"/>
      </w:pPr>
      <w:rPr>
        <w:rFonts w:ascii="Symbol" w:hAnsi="Symbol" w:hint="default"/>
      </w:rPr>
    </w:lvl>
    <w:lvl w:ilvl="4" w:tplc="5B80C660">
      <w:start w:val="1"/>
      <w:numFmt w:val="bullet"/>
      <w:lvlText w:val="o"/>
      <w:lvlJc w:val="left"/>
      <w:pPr>
        <w:ind w:left="3600" w:hanging="360"/>
      </w:pPr>
      <w:rPr>
        <w:rFonts w:ascii="Courier New" w:hAnsi="Courier New" w:hint="default"/>
      </w:rPr>
    </w:lvl>
    <w:lvl w:ilvl="5" w:tplc="FA64920E">
      <w:start w:val="1"/>
      <w:numFmt w:val="bullet"/>
      <w:lvlText w:val=""/>
      <w:lvlJc w:val="left"/>
      <w:pPr>
        <w:ind w:left="4320" w:hanging="360"/>
      </w:pPr>
      <w:rPr>
        <w:rFonts w:ascii="Wingdings" w:hAnsi="Wingdings" w:hint="default"/>
      </w:rPr>
    </w:lvl>
    <w:lvl w:ilvl="6" w:tplc="8CD2DF6C">
      <w:start w:val="1"/>
      <w:numFmt w:val="bullet"/>
      <w:lvlText w:val=""/>
      <w:lvlJc w:val="left"/>
      <w:pPr>
        <w:ind w:left="5040" w:hanging="360"/>
      </w:pPr>
      <w:rPr>
        <w:rFonts w:ascii="Symbol" w:hAnsi="Symbol" w:hint="default"/>
      </w:rPr>
    </w:lvl>
    <w:lvl w:ilvl="7" w:tplc="E2D6E804">
      <w:start w:val="1"/>
      <w:numFmt w:val="bullet"/>
      <w:lvlText w:val="o"/>
      <w:lvlJc w:val="left"/>
      <w:pPr>
        <w:ind w:left="5760" w:hanging="360"/>
      </w:pPr>
      <w:rPr>
        <w:rFonts w:ascii="Courier New" w:hAnsi="Courier New" w:hint="default"/>
      </w:rPr>
    </w:lvl>
    <w:lvl w:ilvl="8" w:tplc="9CE8D5EC">
      <w:start w:val="1"/>
      <w:numFmt w:val="bullet"/>
      <w:lvlText w:val=""/>
      <w:lvlJc w:val="left"/>
      <w:pPr>
        <w:ind w:left="6480" w:hanging="360"/>
      </w:pPr>
      <w:rPr>
        <w:rFonts w:ascii="Wingdings" w:hAnsi="Wingdings" w:hint="default"/>
      </w:rPr>
    </w:lvl>
  </w:abstractNum>
  <w:abstractNum w:abstractNumId="5" w15:restartNumberingAfterBreak="0">
    <w:nsid w:val="192C5785"/>
    <w:multiLevelType w:val="hybridMultilevel"/>
    <w:tmpl w:val="FFFFFFFF"/>
    <w:lvl w:ilvl="0" w:tplc="8A52F1D2">
      <w:start w:val="1"/>
      <w:numFmt w:val="decimal"/>
      <w:lvlText w:val="%1."/>
      <w:lvlJc w:val="left"/>
      <w:pPr>
        <w:ind w:left="720" w:hanging="360"/>
      </w:pPr>
    </w:lvl>
    <w:lvl w:ilvl="1" w:tplc="AB52E6C0">
      <w:start w:val="1"/>
      <w:numFmt w:val="lowerLetter"/>
      <w:lvlText w:val="%2."/>
      <w:lvlJc w:val="left"/>
      <w:pPr>
        <w:ind w:left="1440" w:hanging="360"/>
      </w:pPr>
    </w:lvl>
    <w:lvl w:ilvl="2" w:tplc="12F0F680">
      <w:start w:val="1"/>
      <w:numFmt w:val="lowerRoman"/>
      <w:lvlText w:val="%3."/>
      <w:lvlJc w:val="right"/>
      <w:pPr>
        <w:ind w:left="2160" w:hanging="180"/>
      </w:pPr>
    </w:lvl>
    <w:lvl w:ilvl="3" w:tplc="4AE49116">
      <w:start w:val="1"/>
      <w:numFmt w:val="decimal"/>
      <w:lvlText w:val="%4."/>
      <w:lvlJc w:val="left"/>
      <w:pPr>
        <w:ind w:left="2880" w:hanging="360"/>
      </w:pPr>
    </w:lvl>
    <w:lvl w:ilvl="4" w:tplc="7B30669E">
      <w:start w:val="1"/>
      <w:numFmt w:val="lowerLetter"/>
      <w:lvlText w:val="%5."/>
      <w:lvlJc w:val="left"/>
      <w:pPr>
        <w:ind w:left="3600" w:hanging="360"/>
      </w:pPr>
    </w:lvl>
    <w:lvl w:ilvl="5" w:tplc="50C879A0">
      <w:start w:val="1"/>
      <w:numFmt w:val="lowerRoman"/>
      <w:lvlText w:val="%6."/>
      <w:lvlJc w:val="right"/>
      <w:pPr>
        <w:ind w:left="4320" w:hanging="180"/>
      </w:pPr>
    </w:lvl>
    <w:lvl w:ilvl="6" w:tplc="92846A38">
      <w:start w:val="1"/>
      <w:numFmt w:val="decimal"/>
      <w:lvlText w:val="%7."/>
      <w:lvlJc w:val="left"/>
      <w:pPr>
        <w:ind w:left="5040" w:hanging="360"/>
      </w:pPr>
    </w:lvl>
    <w:lvl w:ilvl="7" w:tplc="4906D930">
      <w:start w:val="1"/>
      <w:numFmt w:val="lowerLetter"/>
      <w:lvlText w:val="%8."/>
      <w:lvlJc w:val="left"/>
      <w:pPr>
        <w:ind w:left="5760" w:hanging="360"/>
      </w:pPr>
    </w:lvl>
    <w:lvl w:ilvl="8" w:tplc="BF04A230">
      <w:start w:val="1"/>
      <w:numFmt w:val="lowerRoman"/>
      <w:lvlText w:val="%9."/>
      <w:lvlJc w:val="right"/>
      <w:pPr>
        <w:ind w:left="6480" w:hanging="180"/>
      </w:pPr>
    </w:lvl>
  </w:abstractNum>
  <w:abstractNum w:abstractNumId="6" w15:restartNumberingAfterBreak="0">
    <w:nsid w:val="255C6B81"/>
    <w:multiLevelType w:val="hybridMultilevel"/>
    <w:tmpl w:val="0DD02C52"/>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7" w15:restartNumberingAfterBreak="0">
    <w:nsid w:val="25A3231F"/>
    <w:multiLevelType w:val="hybridMultilevel"/>
    <w:tmpl w:val="2C541058"/>
    <w:lvl w:ilvl="0" w:tplc="599C34AE">
      <w:start w:val="1"/>
      <w:numFmt w:val="bullet"/>
      <w:lvlText w:val=""/>
      <w:lvlJc w:val="left"/>
      <w:pPr>
        <w:ind w:left="720" w:hanging="360"/>
      </w:pPr>
      <w:rPr>
        <w:rFonts w:ascii="Symbol" w:hAnsi="Symbol" w:hint="default"/>
      </w:rPr>
    </w:lvl>
    <w:lvl w:ilvl="1" w:tplc="5720E45E">
      <w:start w:val="1"/>
      <w:numFmt w:val="bullet"/>
      <w:lvlText w:val="o"/>
      <w:lvlJc w:val="left"/>
      <w:pPr>
        <w:ind w:left="1440" w:hanging="360"/>
      </w:pPr>
      <w:rPr>
        <w:rFonts w:ascii="Courier New" w:hAnsi="Courier New" w:hint="default"/>
      </w:rPr>
    </w:lvl>
    <w:lvl w:ilvl="2" w:tplc="87C2992E">
      <w:start w:val="1"/>
      <w:numFmt w:val="bullet"/>
      <w:lvlText w:val=""/>
      <w:lvlJc w:val="left"/>
      <w:pPr>
        <w:ind w:left="2160" w:hanging="360"/>
      </w:pPr>
      <w:rPr>
        <w:rFonts w:ascii="Wingdings" w:hAnsi="Wingdings" w:hint="default"/>
      </w:rPr>
    </w:lvl>
    <w:lvl w:ilvl="3" w:tplc="F9829E36">
      <w:start w:val="1"/>
      <w:numFmt w:val="bullet"/>
      <w:lvlText w:val=""/>
      <w:lvlJc w:val="left"/>
      <w:pPr>
        <w:ind w:left="2880" w:hanging="360"/>
      </w:pPr>
      <w:rPr>
        <w:rFonts w:ascii="Symbol" w:hAnsi="Symbol" w:hint="default"/>
      </w:rPr>
    </w:lvl>
    <w:lvl w:ilvl="4" w:tplc="EB802070">
      <w:start w:val="1"/>
      <w:numFmt w:val="bullet"/>
      <w:lvlText w:val="o"/>
      <w:lvlJc w:val="left"/>
      <w:pPr>
        <w:ind w:left="3600" w:hanging="360"/>
      </w:pPr>
      <w:rPr>
        <w:rFonts w:ascii="Courier New" w:hAnsi="Courier New" w:hint="default"/>
      </w:rPr>
    </w:lvl>
    <w:lvl w:ilvl="5" w:tplc="D206A62C">
      <w:start w:val="1"/>
      <w:numFmt w:val="bullet"/>
      <w:lvlText w:val=""/>
      <w:lvlJc w:val="left"/>
      <w:pPr>
        <w:ind w:left="4320" w:hanging="360"/>
      </w:pPr>
      <w:rPr>
        <w:rFonts w:ascii="Wingdings" w:hAnsi="Wingdings" w:hint="default"/>
      </w:rPr>
    </w:lvl>
    <w:lvl w:ilvl="6" w:tplc="96B29D5E">
      <w:start w:val="1"/>
      <w:numFmt w:val="bullet"/>
      <w:lvlText w:val=""/>
      <w:lvlJc w:val="left"/>
      <w:pPr>
        <w:ind w:left="5040" w:hanging="360"/>
      </w:pPr>
      <w:rPr>
        <w:rFonts w:ascii="Symbol" w:hAnsi="Symbol" w:hint="default"/>
      </w:rPr>
    </w:lvl>
    <w:lvl w:ilvl="7" w:tplc="8D2E8848">
      <w:start w:val="1"/>
      <w:numFmt w:val="bullet"/>
      <w:lvlText w:val="o"/>
      <w:lvlJc w:val="left"/>
      <w:pPr>
        <w:ind w:left="5760" w:hanging="360"/>
      </w:pPr>
      <w:rPr>
        <w:rFonts w:ascii="Courier New" w:hAnsi="Courier New" w:hint="default"/>
      </w:rPr>
    </w:lvl>
    <w:lvl w:ilvl="8" w:tplc="B76C60A2">
      <w:start w:val="1"/>
      <w:numFmt w:val="bullet"/>
      <w:lvlText w:val=""/>
      <w:lvlJc w:val="left"/>
      <w:pPr>
        <w:ind w:left="6480" w:hanging="360"/>
      </w:pPr>
      <w:rPr>
        <w:rFonts w:ascii="Wingdings" w:hAnsi="Wingdings" w:hint="default"/>
      </w:rPr>
    </w:lvl>
  </w:abstractNum>
  <w:abstractNum w:abstractNumId="8" w15:restartNumberingAfterBreak="0">
    <w:nsid w:val="3ED23742"/>
    <w:multiLevelType w:val="hybridMultilevel"/>
    <w:tmpl w:val="5E0AFEAC"/>
    <w:lvl w:ilvl="0" w:tplc="C6DED128">
      <w:start w:val="1"/>
      <w:numFmt w:val="bullet"/>
      <w:lvlText w:val=""/>
      <w:lvlJc w:val="left"/>
      <w:pPr>
        <w:ind w:left="720" w:hanging="360"/>
      </w:pPr>
      <w:rPr>
        <w:rFonts w:ascii="Symbol" w:hAnsi="Symbol" w:hint="default"/>
      </w:rPr>
    </w:lvl>
    <w:lvl w:ilvl="1" w:tplc="7E96DBE2">
      <w:start w:val="1"/>
      <w:numFmt w:val="bullet"/>
      <w:lvlText w:val="o"/>
      <w:lvlJc w:val="left"/>
      <w:pPr>
        <w:ind w:left="1440" w:hanging="360"/>
      </w:pPr>
      <w:rPr>
        <w:rFonts w:ascii="Courier New" w:hAnsi="Courier New" w:hint="default"/>
      </w:rPr>
    </w:lvl>
    <w:lvl w:ilvl="2" w:tplc="F50E9C4E">
      <w:start w:val="1"/>
      <w:numFmt w:val="bullet"/>
      <w:lvlText w:val=""/>
      <w:lvlJc w:val="left"/>
      <w:pPr>
        <w:ind w:left="2160" w:hanging="360"/>
      </w:pPr>
      <w:rPr>
        <w:rFonts w:ascii="Wingdings" w:hAnsi="Wingdings" w:hint="default"/>
      </w:rPr>
    </w:lvl>
    <w:lvl w:ilvl="3" w:tplc="E0E2BF14">
      <w:start w:val="1"/>
      <w:numFmt w:val="bullet"/>
      <w:lvlText w:val=""/>
      <w:lvlJc w:val="left"/>
      <w:pPr>
        <w:ind w:left="2880" w:hanging="360"/>
      </w:pPr>
      <w:rPr>
        <w:rFonts w:ascii="Symbol" w:hAnsi="Symbol" w:hint="default"/>
      </w:rPr>
    </w:lvl>
    <w:lvl w:ilvl="4" w:tplc="F52645E4">
      <w:start w:val="1"/>
      <w:numFmt w:val="bullet"/>
      <w:lvlText w:val="o"/>
      <w:lvlJc w:val="left"/>
      <w:pPr>
        <w:ind w:left="3600" w:hanging="360"/>
      </w:pPr>
      <w:rPr>
        <w:rFonts w:ascii="Courier New" w:hAnsi="Courier New" w:hint="default"/>
      </w:rPr>
    </w:lvl>
    <w:lvl w:ilvl="5" w:tplc="C65E8A3C">
      <w:start w:val="1"/>
      <w:numFmt w:val="bullet"/>
      <w:lvlText w:val=""/>
      <w:lvlJc w:val="left"/>
      <w:pPr>
        <w:ind w:left="4320" w:hanging="360"/>
      </w:pPr>
      <w:rPr>
        <w:rFonts w:ascii="Wingdings" w:hAnsi="Wingdings" w:hint="default"/>
      </w:rPr>
    </w:lvl>
    <w:lvl w:ilvl="6" w:tplc="B6429E1E">
      <w:start w:val="1"/>
      <w:numFmt w:val="bullet"/>
      <w:lvlText w:val=""/>
      <w:lvlJc w:val="left"/>
      <w:pPr>
        <w:ind w:left="5040" w:hanging="360"/>
      </w:pPr>
      <w:rPr>
        <w:rFonts w:ascii="Symbol" w:hAnsi="Symbol" w:hint="default"/>
      </w:rPr>
    </w:lvl>
    <w:lvl w:ilvl="7" w:tplc="4C3035E6">
      <w:start w:val="1"/>
      <w:numFmt w:val="bullet"/>
      <w:lvlText w:val="o"/>
      <w:lvlJc w:val="left"/>
      <w:pPr>
        <w:ind w:left="5760" w:hanging="360"/>
      </w:pPr>
      <w:rPr>
        <w:rFonts w:ascii="Courier New" w:hAnsi="Courier New" w:hint="default"/>
      </w:rPr>
    </w:lvl>
    <w:lvl w:ilvl="8" w:tplc="4412ED3A">
      <w:start w:val="1"/>
      <w:numFmt w:val="bullet"/>
      <w:lvlText w:val=""/>
      <w:lvlJc w:val="left"/>
      <w:pPr>
        <w:ind w:left="6480" w:hanging="360"/>
      </w:pPr>
      <w:rPr>
        <w:rFonts w:ascii="Wingdings" w:hAnsi="Wingdings" w:hint="default"/>
      </w:rPr>
    </w:lvl>
  </w:abstractNum>
  <w:abstractNum w:abstractNumId="9" w15:restartNumberingAfterBreak="0">
    <w:nsid w:val="42806415"/>
    <w:multiLevelType w:val="hybridMultilevel"/>
    <w:tmpl w:val="FFFFFFFF"/>
    <w:lvl w:ilvl="0" w:tplc="8D70AC96">
      <w:start w:val="1"/>
      <w:numFmt w:val="bullet"/>
      <w:lvlText w:val=""/>
      <w:lvlJc w:val="left"/>
      <w:pPr>
        <w:ind w:left="720" w:hanging="360"/>
      </w:pPr>
      <w:rPr>
        <w:rFonts w:ascii="Symbol" w:hAnsi="Symbol" w:hint="default"/>
      </w:rPr>
    </w:lvl>
    <w:lvl w:ilvl="1" w:tplc="6E9A6640">
      <w:start w:val="1"/>
      <w:numFmt w:val="bullet"/>
      <w:lvlText w:val="o"/>
      <w:lvlJc w:val="left"/>
      <w:pPr>
        <w:ind w:left="1440" w:hanging="360"/>
      </w:pPr>
      <w:rPr>
        <w:rFonts w:ascii="Courier New" w:hAnsi="Courier New" w:hint="default"/>
      </w:rPr>
    </w:lvl>
    <w:lvl w:ilvl="2" w:tplc="FD682664">
      <w:start w:val="1"/>
      <w:numFmt w:val="bullet"/>
      <w:lvlText w:val=""/>
      <w:lvlJc w:val="left"/>
      <w:pPr>
        <w:ind w:left="2160" w:hanging="360"/>
      </w:pPr>
      <w:rPr>
        <w:rFonts w:ascii="Wingdings" w:hAnsi="Wingdings" w:hint="default"/>
      </w:rPr>
    </w:lvl>
    <w:lvl w:ilvl="3" w:tplc="3F6698AC">
      <w:start w:val="1"/>
      <w:numFmt w:val="bullet"/>
      <w:lvlText w:val=""/>
      <w:lvlJc w:val="left"/>
      <w:pPr>
        <w:ind w:left="2880" w:hanging="360"/>
      </w:pPr>
      <w:rPr>
        <w:rFonts w:ascii="Symbol" w:hAnsi="Symbol" w:hint="default"/>
      </w:rPr>
    </w:lvl>
    <w:lvl w:ilvl="4" w:tplc="76E22BD4">
      <w:start w:val="1"/>
      <w:numFmt w:val="bullet"/>
      <w:lvlText w:val="o"/>
      <w:lvlJc w:val="left"/>
      <w:pPr>
        <w:ind w:left="3600" w:hanging="360"/>
      </w:pPr>
      <w:rPr>
        <w:rFonts w:ascii="Courier New" w:hAnsi="Courier New" w:hint="default"/>
      </w:rPr>
    </w:lvl>
    <w:lvl w:ilvl="5" w:tplc="AED843CA">
      <w:start w:val="1"/>
      <w:numFmt w:val="bullet"/>
      <w:lvlText w:val=""/>
      <w:lvlJc w:val="left"/>
      <w:pPr>
        <w:ind w:left="4320" w:hanging="360"/>
      </w:pPr>
      <w:rPr>
        <w:rFonts w:ascii="Wingdings" w:hAnsi="Wingdings" w:hint="default"/>
      </w:rPr>
    </w:lvl>
    <w:lvl w:ilvl="6" w:tplc="EB0E2C22">
      <w:start w:val="1"/>
      <w:numFmt w:val="bullet"/>
      <w:lvlText w:val=""/>
      <w:lvlJc w:val="left"/>
      <w:pPr>
        <w:ind w:left="5040" w:hanging="360"/>
      </w:pPr>
      <w:rPr>
        <w:rFonts w:ascii="Symbol" w:hAnsi="Symbol" w:hint="default"/>
      </w:rPr>
    </w:lvl>
    <w:lvl w:ilvl="7" w:tplc="85DA9C3E">
      <w:start w:val="1"/>
      <w:numFmt w:val="bullet"/>
      <w:lvlText w:val="o"/>
      <w:lvlJc w:val="left"/>
      <w:pPr>
        <w:ind w:left="5760" w:hanging="360"/>
      </w:pPr>
      <w:rPr>
        <w:rFonts w:ascii="Courier New" w:hAnsi="Courier New" w:hint="default"/>
      </w:rPr>
    </w:lvl>
    <w:lvl w:ilvl="8" w:tplc="9EB404A8">
      <w:start w:val="1"/>
      <w:numFmt w:val="bullet"/>
      <w:lvlText w:val=""/>
      <w:lvlJc w:val="left"/>
      <w:pPr>
        <w:ind w:left="6480" w:hanging="360"/>
      </w:pPr>
      <w:rPr>
        <w:rFonts w:ascii="Wingdings" w:hAnsi="Wingdings" w:hint="default"/>
      </w:rPr>
    </w:lvl>
  </w:abstractNum>
  <w:abstractNum w:abstractNumId="10" w15:restartNumberingAfterBreak="0">
    <w:nsid w:val="42F31F78"/>
    <w:multiLevelType w:val="hybridMultilevel"/>
    <w:tmpl w:val="CAB4E59E"/>
    <w:lvl w:ilvl="0" w:tplc="641600AA">
      <w:start w:val="1"/>
      <w:numFmt w:val="bullet"/>
      <w:lvlText w:val=""/>
      <w:lvlJc w:val="left"/>
      <w:pPr>
        <w:ind w:left="720" w:hanging="360"/>
      </w:pPr>
      <w:rPr>
        <w:rFonts w:ascii="Symbol" w:hAnsi="Symbol" w:hint="default"/>
      </w:rPr>
    </w:lvl>
    <w:lvl w:ilvl="1" w:tplc="EE7221E6">
      <w:start w:val="1"/>
      <w:numFmt w:val="bullet"/>
      <w:lvlText w:val="o"/>
      <w:lvlJc w:val="left"/>
      <w:pPr>
        <w:ind w:left="1440" w:hanging="360"/>
      </w:pPr>
      <w:rPr>
        <w:rFonts w:ascii="Courier New" w:hAnsi="Courier New" w:hint="default"/>
      </w:rPr>
    </w:lvl>
    <w:lvl w:ilvl="2" w:tplc="00AAF362">
      <w:start w:val="1"/>
      <w:numFmt w:val="bullet"/>
      <w:lvlText w:val=""/>
      <w:lvlJc w:val="left"/>
      <w:pPr>
        <w:ind w:left="2160" w:hanging="360"/>
      </w:pPr>
      <w:rPr>
        <w:rFonts w:ascii="Wingdings" w:hAnsi="Wingdings" w:hint="default"/>
      </w:rPr>
    </w:lvl>
    <w:lvl w:ilvl="3" w:tplc="BB7E79CE">
      <w:start w:val="1"/>
      <w:numFmt w:val="bullet"/>
      <w:lvlText w:val=""/>
      <w:lvlJc w:val="left"/>
      <w:pPr>
        <w:ind w:left="2880" w:hanging="360"/>
      </w:pPr>
      <w:rPr>
        <w:rFonts w:ascii="Symbol" w:hAnsi="Symbol" w:hint="default"/>
      </w:rPr>
    </w:lvl>
    <w:lvl w:ilvl="4" w:tplc="5BD4629C">
      <w:start w:val="1"/>
      <w:numFmt w:val="bullet"/>
      <w:lvlText w:val="o"/>
      <w:lvlJc w:val="left"/>
      <w:pPr>
        <w:ind w:left="3600" w:hanging="360"/>
      </w:pPr>
      <w:rPr>
        <w:rFonts w:ascii="Courier New" w:hAnsi="Courier New" w:hint="default"/>
      </w:rPr>
    </w:lvl>
    <w:lvl w:ilvl="5" w:tplc="7312FE12">
      <w:start w:val="1"/>
      <w:numFmt w:val="bullet"/>
      <w:lvlText w:val=""/>
      <w:lvlJc w:val="left"/>
      <w:pPr>
        <w:ind w:left="4320" w:hanging="360"/>
      </w:pPr>
      <w:rPr>
        <w:rFonts w:ascii="Wingdings" w:hAnsi="Wingdings" w:hint="default"/>
      </w:rPr>
    </w:lvl>
    <w:lvl w:ilvl="6" w:tplc="C27C9366">
      <w:start w:val="1"/>
      <w:numFmt w:val="bullet"/>
      <w:lvlText w:val=""/>
      <w:lvlJc w:val="left"/>
      <w:pPr>
        <w:ind w:left="5040" w:hanging="360"/>
      </w:pPr>
      <w:rPr>
        <w:rFonts w:ascii="Symbol" w:hAnsi="Symbol" w:hint="default"/>
      </w:rPr>
    </w:lvl>
    <w:lvl w:ilvl="7" w:tplc="1F24F242">
      <w:start w:val="1"/>
      <w:numFmt w:val="bullet"/>
      <w:lvlText w:val="o"/>
      <w:lvlJc w:val="left"/>
      <w:pPr>
        <w:ind w:left="5760" w:hanging="360"/>
      </w:pPr>
      <w:rPr>
        <w:rFonts w:ascii="Courier New" w:hAnsi="Courier New" w:hint="default"/>
      </w:rPr>
    </w:lvl>
    <w:lvl w:ilvl="8" w:tplc="9404D238">
      <w:start w:val="1"/>
      <w:numFmt w:val="bullet"/>
      <w:lvlText w:val=""/>
      <w:lvlJc w:val="left"/>
      <w:pPr>
        <w:ind w:left="6480" w:hanging="360"/>
      </w:pPr>
      <w:rPr>
        <w:rFonts w:ascii="Wingdings" w:hAnsi="Wingdings" w:hint="default"/>
      </w:rPr>
    </w:lvl>
  </w:abstractNum>
  <w:abstractNum w:abstractNumId="11" w15:restartNumberingAfterBreak="0">
    <w:nsid w:val="4FF35418"/>
    <w:multiLevelType w:val="hybridMultilevel"/>
    <w:tmpl w:val="FFFFFFFF"/>
    <w:lvl w:ilvl="0" w:tplc="B4CC7D26">
      <w:start w:val="1"/>
      <w:numFmt w:val="bullet"/>
      <w:lvlText w:val=""/>
      <w:lvlJc w:val="left"/>
      <w:pPr>
        <w:ind w:left="720" w:hanging="360"/>
      </w:pPr>
      <w:rPr>
        <w:rFonts w:ascii="Symbol" w:hAnsi="Symbol" w:hint="default"/>
      </w:rPr>
    </w:lvl>
    <w:lvl w:ilvl="1" w:tplc="B7FA7CE6">
      <w:start w:val="1"/>
      <w:numFmt w:val="bullet"/>
      <w:lvlText w:val="o"/>
      <w:lvlJc w:val="left"/>
      <w:pPr>
        <w:ind w:left="1440" w:hanging="360"/>
      </w:pPr>
      <w:rPr>
        <w:rFonts w:ascii="Courier New" w:hAnsi="Courier New" w:hint="default"/>
      </w:rPr>
    </w:lvl>
    <w:lvl w:ilvl="2" w:tplc="FE50DC4C">
      <w:start w:val="1"/>
      <w:numFmt w:val="bullet"/>
      <w:lvlText w:val=""/>
      <w:lvlJc w:val="left"/>
      <w:pPr>
        <w:ind w:left="2160" w:hanging="360"/>
      </w:pPr>
      <w:rPr>
        <w:rFonts w:ascii="Wingdings" w:hAnsi="Wingdings" w:hint="default"/>
      </w:rPr>
    </w:lvl>
    <w:lvl w:ilvl="3" w:tplc="EC30ABFA">
      <w:start w:val="1"/>
      <w:numFmt w:val="bullet"/>
      <w:lvlText w:val=""/>
      <w:lvlJc w:val="left"/>
      <w:pPr>
        <w:ind w:left="2880" w:hanging="360"/>
      </w:pPr>
      <w:rPr>
        <w:rFonts w:ascii="Symbol" w:hAnsi="Symbol" w:hint="default"/>
      </w:rPr>
    </w:lvl>
    <w:lvl w:ilvl="4" w:tplc="252A3186">
      <w:start w:val="1"/>
      <w:numFmt w:val="bullet"/>
      <w:lvlText w:val="o"/>
      <w:lvlJc w:val="left"/>
      <w:pPr>
        <w:ind w:left="3600" w:hanging="360"/>
      </w:pPr>
      <w:rPr>
        <w:rFonts w:ascii="Courier New" w:hAnsi="Courier New" w:hint="default"/>
      </w:rPr>
    </w:lvl>
    <w:lvl w:ilvl="5" w:tplc="49721946">
      <w:start w:val="1"/>
      <w:numFmt w:val="bullet"/>
      <w:lvlText w:val=""/>
      <w:lvlJc w:val="left"/>
      <w:pPr>
        <w:ind w:left="4320" w:hanging="360"/>
      </w:pPr>
      <w:rPr>
        <w:rFonts w:ascii="Wingdings" w:hAnsi="Wingdings" w:hint="default"/>
      </w:rPr>
    </w:lvl>
    <w:lvl w:ilvl="6" w:tplc="1AEADAE0">
      <w:start w:val="1"/>
      <w:numFmt w:val="bullet"/>
      <w:lvlText w:val=""/>
      <w:lvlJc w:val="left"/>
      <w:pPr>
        <w:ind w:left="5040" w:hanging="360"/>
      </w:pPr>
      <w:rPr>
        <w:rFonts w:ascii="Symbol" w:hAnsi="Symbol" w:hint="default"/>
      </w:rPr>
    </w:lvl>
    <w:lvl w:ilvl="7" w:tplc="580AC942">
      <w:start w:val="1"/>
      <w:numFmt w:val="bullet"/>
      <w:lvlText w:val="o"/>
      <w:lvlJc w:val="left"/>
      <w:pPr>
        <w:ind w:left="5760" w:hanging="360"/>
      </w:pPr>
      <w:rPr>
        <w:rFonts w:ascii="Courier New" w:hAnsi="Courier New" w:hint="default"/>
      </w:rPr>
    </w:lvl>
    <w:lvl w:ilvl="8" w:tplc="828CB35A">
      <w:start w:val="1"/>
      <w:numFmt w:val="bullet"/>
      <w:lvlText w:val=""/>
      <w:lvlJc w:val="left"/>
      <w:pPr>
        <w:ind w:left="6480" w:hanging="360"/>
      </w:pPr>
      <w:rPr>
        <w:rFonts w:ascii="Wingdings" w:hAnsi="Wingdings" w:hint="default"/>
      </w:rPr>
    </w:lvl>
  </w:abstractNum>
  <w:abstractNum w:abstractNumId="12" w15:restartNumberingAfterBreak="0">
    <w:nsid w:val="56314DAE"/>
    <w:multiLevelType w:val="hybridMultilevel"/>
    <w:tmpl w:val="FFFFFFFF"/>
    <w:lvl w:ilvl="0" w:tplc="C8D66DB8">
      <w:start w:val="1"/>
      <w:numFmt w:val="bullet"/>
      <w:lvlText w:val=""/>
      <w:lvlJc w:val="left"/>
      <w:pPr>
        <w:ind w:left="720" w:hanging="360"/>
      </w:pPr>
      <w:rPr>
        <w:rFonts w:ascii="Symbol" w:hAnsi="Symbol" w:hint="default"/>
      </w:rPr>
    </w:lvl>
    <w:lvl w:ilvl="1" w:tplc="C964A4B0">
      <w:start w:val="1"/>
      <w:numFmt w:val="bullet"/>
      <w:lvlText w:val="o"/>
      <w:lvlJc w:val="left"/>
      <w:pPr>
        <w:ind w:left="1440" w:hanging="360"/>
      </w:pPr>
      <w:rPr>
        <w:rFonts w:ascii="Courier New" w:hAnsi="Courier New" w:hint="default"/>
      </w:rPr>
    </w:lvl>
    <w:lvl w:ilvl="2" w:tplc="63A8789A">
      <w:start w:val="1"/>
      <w:numFmt w:val="bullet"/>
      <w:lvlText w:val=""/>
      <w:lvlJc w:val="left"/>
      <w:pPr>
        <w:ind w:left="2160" w:hanging="360"/>
      </w:pPr>
      <w:rPr>
        <w:rFonts w:ascii="Wingdings" w:hAnsi="Wingdings" w:hint="default"/>
      </w:rPr>
    </w:lvl>
    <w:lvl w:ilvl="3" w:tplc="2BD855C8">
      <w:start w:val="1"/>
      <w:numFmt w:val="bullet"/>
      <w:lvlText w:val=""/>
      <w:lvlJc w:val="left"/>
      <w:pPr>
        <w:ind w:left="2880" w:hanging="360"/>
      </w:pPr>
      <w:rPr>
        <w:rFonts w:ascii="Symbol" w:hAnsi="Symbol" w:hint="default"/>
      </w:rPr>
    </w:lvl>
    <w:lvl w:ilvl="4" w:tplc="637C1FCE">
      <w:start w:val="1"/>
      <w:numFmt w:val="bullet"/>
      <w:lvlText w:val="o"/>
      <w:lvlJc w:val="left"/>
      <w:pPr>
        <w:ind w:left="3600" w:hanging="360"/>
      </w:pPr>
      <w:rPr>
        <w:rFonts w:ascii="Courier New" w:hAnsi="Courier New" w:hint="default"/>
      </w:rPr>
    </w:lvl>
    <w:lvl w:ilvl="5" w:tplc="928EF5F2">
      <w:start w:val="1"/>
      <w:numFmt w:val="bullet"/>
      <w:lvlText w:val=""/>
      <w:lvlJc w:val="left"/>
      <w:pPr>
        <w:ind w:left="4320" w:hanging="360"/>
      </w:pPr>
      <w:rPr>
        <w:rFonts w:ascii="Wingdings" w:hAnsi="Wingdings" w:hint="default"/>
      </w:rPr>
    </w:lvl>
    <w:lvl w:ilvl="6" w:tplc="ED4AC1AC">
      <w:start w:val="1"/>
      <w:numFmt w:val="bullet"/>
      <w:lvlText w:val=""/>
      <w:lvlJc w:val="left"/>
      <w:pPr>
        <w:ind w:left="5040" w:hanging="360"/>
      </w:pPr>
      <w:rPr>
        <w:rFonts w:ascii="Symbol" w:hAnsi="Symbol" w:hint="default"/>
      </w:rPr>
    </w:lvl>
    <w:lvl w:ilvl="7" w:tplc="99782328">
      <w:start w:val="1"/>
      <w:numFmt w:val="bullet"/>
      <w:lvlText w:val="o"/>
      <w:lvlJc w:val="left"/>
      <w:pPr>
        <w:ind w:left="5760" w:hanging="360"/>
      </w:pPr>
      <w:rPr>
        <w:rFonts w:ascii="Courier New" w:hAnsi="Courier New" w:hint="default"/>
      </w:rPr>
    </w:lvl>
    <w:lvl w:ilvl="8" w:tplc="35B4A3A8">
      <w:start w:val="1"/>
      <w:numFmt w:val="bullet"/>
      <w:lvlText w:val=""/>
      <w:lvlJc w:val="left"/>
      <w:pPr>
        <w:ind w:left="6480" w:hanging="360"/>
      </w:pPr>
      <w:rPr>
        <w:rFonts w:ascii="Wingdings" w:hAnsi="Wingdings" w:hint="default"/>
      </w:rPr>
    </w:lvl>
  </w:abstractNum>
  <w:abstractNum w:abstractNumId="13" w15:restartNumberingAfterBreak="0">
    <w:nsid w:val="5B313E8B"/>
    <w:multiLevelType w:val="hybridMultilevel"/>
    <w:tmpl w:val="FFFFFFFF"/>
    <w:lvl w:ilvl="0" w:tplc="14F41E74">
      <w:start w:val="1"/>
      <w:numFmt w:val="decimal"/>
      <w:lvlText w:val="%1."/>
      <w:lvlJc w:val="left"/>
      <w:pPr>
        <w:ind w:left="720" w:hanging="360"/>
      </w:pPr>
    </w:lvl>
    <w:lvl w:ilvl="1" w:tplc="BA922B22">
      <w:start w:val="1"/>
      <w:numFmt w:val="lowerLetter"/>
      <w:lvlText w:val="%2."/>
      <w:lvlJc w:val="left"/>
      <w:pPr>
        <w:ind w:left="1440" w:hanging="360"/>
      </w:pPr>
    </w:lvl>
    <w:lvl w:ilvl="2" w:tplc="2B0A692A">
      <w:start w:val="1"/>
      <w:numFmt w:val="lowerRoman"/>
      <w:lvlText w:val="%3."/>
      <w:lvlJc w:val="right"/>
      <w:pPr>
        <w:ind w:left="2160" w:hanging="180"/>
      </w:pPr>
    </w:lvl>
    <w:lvl w:ilvl="3" w:tplc="FD347492">
      <w:start w:val="1"/>
      <w:numFmt w:val="decimal"/>
      <w:lvlText w:val="%4."/>
      <w:lvlJc w:val="left"/>
      <w:pPr>
        <w:ind w:left="2880" w:hanging="360"/>
      </w:pPr>
    </w:lvl>
    <w:lvl w:ilvl="4" w:tplc="8E1A1E3A">
      <w:start w:val="1"/>
      <w:numFmt w:val="lowerLetter"/>
      <w:lvlText w:val="%5."/>
      <w:lvlJc w:val="left"/>
      <w:pPr>
        <w:ind w:left="3600" w:hanging="360"/>
      </w:pPr>
    </w:lvl>
    <w:lvl w:ilvl="5" w:tplc="E60052AC">
      <w:start w:val="1"/>
      <w:numFmt w:val="lowerRoman"/>
      <w:lvlText w:val="%6."/>
      <w:lvlJc w:val="right"/>
      <w:pPr>
        <w:ind w:left="4320" w:hanging="180"/>
      </w:pPr>
    </w:lvl>
    <w:lvl w:ilvl="6" w:tplc="E8882EF6">
      <w:start w:val="1"/>
      <w:numFmt w:val="decimal"/>
      <w:lvlText w:val="%7."/>
      <w:lvlJc w:val="left"/>
      <w:pPr>
        <w:ind w:left="5040" w:hanging="360"/>
      </w:pPr>
    </w:lvl>
    <w:lvl w:ilvl="7" w:tplc="E64C851C">
      <w:start w:val="1"/>
      <w:numFmt w:val="lowerLetter"/>
      <w:lvlText w:val="%8."/>
      <w:lvlJc w:val="left"/>
      <w:pPr>
        <w:ind w:left="5760" w:hanging="360"/>
      </w:pPr>
    </w:lvl>
    <w:lvl w:ilvl="8" w:tplc="0CD23744">
      <w:start w:val="1"/>
      <w:numFmt w:val="lowerRoman"/>
      <w:lvlText w:val="%9."/>
      <w:lvlJc w:val="right"/>
      <w:pPr>
        <w:ind w:left="6480" w:hanging="180"/>
      </w:pPr>
    </w:lvl>
  </w:abstractNum>
  <w:abstractNum w:abstractNumId="14" w15:restartNumberingAfterBreak="0">
    <w:nsid w:val="62466BB9"/>
    <w:multiLevelType w:val="hybridMultilevel"/>
    <w:tmpl w:val="D1E024A8"/>
    <w:lvl w:ilvl="0" w:tplc="CA88799E">
      <w:start w:val="1"/>
      <w:numFmt w:val="decimal"/>
      <w:lvlText w:val="%1."/>
      <w:lvlJc w:val="left"/>
      <w:pPr>
        <w:ind w:left="720" w:hanging="360"/>
      </w:pPr>
    </w:lvl>
    <w:lvl w:ilvl="1" w:tplc="1A2A1AD4">
      <w:start w:val="1"/>
      <w:numFmt w:val="lowerLetter"/>
      <w:lvlText w:val="%2."/>
      <w:lvlJc w:val="left"/>
      <w:pPr>
        <w:ind w:left="1440" w:hanging="360"/>
      </w:pPr>
    </w:lvl>
    <w:lvl w:ilvl="2" w:tplc="9BDCBCEC">
      <w:start w:val="1"/>
      <w:numFmt w:val="lowerRoman"/>
      <w:lvlText w:val="%3."/>
      <w:lvlJc w:val="right"/>
      <w:pPr>
        <w:ind w:left="2160" w:hanging="180"/>
      </w:pPr>
    </w:lvl>
    <w:lvl w:ilvl="3" w:tplc="39A00602">
      <w:start w:val="1"/>
      <w:numFmt w:val="decimal"/>
      <w:lvlText w:val="%4."/>
      <w:lvlJc w:val="left"/>
      <w:pPr>
        <w:ind w:left="2880" w:hanging="360"/>
      </w:pPr>
    </w:lvl>
    <w:lvl w:ilvl="4" w:tplc="CE74C7FE">
      <w:start w:val="1"/>
      <w:numFmt w:val="lowerLetter"/>
      <w:lvlText w:val="%5."/>
      <w:lvlJc w:val="left"/>
      <w:pPr>
        <w:ind w:left="3600" w:hanging="360"/>
      </w:pPr>
    </w:lvl>
    <w:lvl w:ilvl="5" w:tplc="1736DF02">
      <w:start w:val="1"/>
      <w:numFmt w:val="lowerRoman"/>
      <w:lvlText w:val="%6."/>
      <w:lvlJc w:val="right"/>
      <w:pPr>
        <w:ind w:left="4320" w:hanging="180"/>
      </w:pPr>
    </w:lvl>
    <w:lvl w:ilvl="6" w:tplc="14F683B2">
      <w:start w:val="1"/>
      <w:numFmt w:val="decimal"/>
      <w:lvlText w:val="%7."/>
      <w:lvlJc w:val="left"/>
      <w:pPr>
        <w:ind w:left="5040" w:hanging="360"/>
      </w:pPr>
    </w:lvl>
    <w:lvl w:ilvl="7" w:tplc="BF6C102C">
      <w:start w:val="1"/>
      <w:numFmt w:val="lowerLetter"/>
      <w:lvlText w:val="%8."/>
      <w:lvlJc w:val="left"/>
      <w:pPr>
        <w:ind w:left="5760" w:hanging="360"/>
      </w:pPr>
    </w:lvl>
    <w:lvl w:ilvl="8" w:tplc="BC96419E">
      <w:start w:val="1"/>
      <w:numFmt w:val="lowerRoman"/>
      <w:lvlText w:val="%9."/>
      <w:lvlJc w:val="right"/>
      <w:pPr>
        <w:ind w:left="6480" w:hanging="180"/>
      </w:pPr>
    </w:lvl>
  </w:abstractNum>
  <w:abstractNum w:abstractNumId="15" w15:restartNumberingAfterBreak="0">
    <w:nsid w:val="62BF0040"/>
    <w:multiLevelType w:val="hybridMultilevel"/>
    <w:tmpl w:val="77EE8814"/>
    <w:lvl w:ilvl="0" w:tplc="D1DC7442">
      <w:start w:val="1"/>
      <w:numFmt w:val="bullet"/>
      <w:lvlText w:val=""/>
      <w:lvlJc w:val="left"/>
      <w:pPr>
        <w:ind w:left="720" w:hanging="360"/>
      </w:pPr>
      <w:rPr>
        <w:rFonts w:ascii="Symbol" w:hAnsi="Symbol" w:hint="default"/>
      </w:rPr>
    </w:lvl>
    <w:lvl w:ilvl="1" w:tplc="8C2AACF6">
      <w:start w:val="1"/>
      <w:numFmt w:val="bullet"/>
      <w:lvlText w:val="o"/>
      <w:lvlJc w:val="left"/>
      <w:pPr>
        <w:ind w:left="1440" w:hanging="360"/>
      </w:pPr>
      <w:rPr>
        <w:rFonts w:ascii="Courier New" w:hAnsi="Courier New" w:hint="default"/>
      </w:rPr>
    </w:lvl>
    <w:lvl w:ilvl="2" w:tplc="0C0CA30C">
      <w:start w:val="1"/>
      <w:numFmt w:val="bullet"/>
      <w:lvlText w:val=""/>
      <w:lvlJc w:val="left"/>
      <w:pPr>
        <w:ind w:left="2160" w:hanging="360"/>
      </w:pPr>
      <w:rPr>
        <w:rFonts w:ascii="Wingdings" w:hAnsi="Wingdings" w:hint="default"/>
      </w:rPr>
    </w:lvl>
    <w:lvl w:ilvl="3" w:tplc="9754F36E">
      <w:start w:val="1"/>
      <w:numFmt w:val="bullet"/>
      <w:lvlText w:val=""/>
      <w:lvlJc w:val="left"/>
      <w:pPr>
        <w:ind w:left="2880" w:hanging="360"/>
      </w:pPr>
      <w:rPr>
        <w:rFonts w:ascii="Symbol" w:hAnsi="Symbol" w:hint="default"/>
      </w:rPr>
    </w:lvl>
    <w:lvl w:ilvl="4" w:tplc="7B5E6494">
      <w:start w:val="1"/>
      <w:numFmt w:val="bullet"/>
      <w:lvlText w:val="o"/>
      <w:lvlJc w:val="left"/>
      <w:pPr>
        <w:ind w:left="3600" w:hanging="360"/>
      </w:pPr>
      <w:rPr>
        <w:rFonts w:ascii="Courier New" w:hAnsi="Courier New" w:hint="default"/>
      </w:rPr>
    </w:lvl>
    <w:lvl w:ilvl="5" w:tplc="F0D474F6">
      <w:start w:val="1"/>
      <w:numFmt w:val="bullet"/>
      <w:lvlText w:val=""/>
      <w:lvlJc w:val="left"/>
      <w:pPr>
        <w:ind w:left="4320" w:hanging="360"/>
      </w:pPr>
      <w:rPr>
        <w:rFonts w:ascii="Wingdings" w:hAnsi="Wingdings" w:hint="default"/>
      </w:rPr>
    </w:lvl>
    <w:lvl w:ilvl="6" w:tplc="7846AF12">
      <w:start w:val="1"/>
      <w:numFmt w:val="bullet"/>
      <w:lvlText w:val=""/>
      <w:lvlJc w:val="left"/>
      <w:pPr>
        <w:ind w:left="5040" w:hanging="360"/>
      </w:pPr>
      <w:rPr>
        <w:rFonts w:ascii="Symbol" w:hAnsi="Symbol" w:hint="default"/>
      </w:rPr>
    </w:lvl>
    <w:lvl w:ilvl="7" w:tplc="C7C6960A">
      <w:start w:val="1"/>
      <w:numFmt w:val="bullet"/>
      <w:lvlText w:val="o"/>
      <w:lvlJc w:val="left"/>
      <w:pPr>
        <w:ind w:left="5760" w:hanging="360"/>
      </w:pPr>
      <w:rPr>
        <w:rFonts w:ascii="Courier New" w:hAnsi="Courier New" w:hint="default"/>
      </w:rPr>
    </w:lvl>
    <w:lvl w:ilvl="8" w:tplc="7ACA1CFE">
      <w:start w:val="1"/>
      <w:numFmt w:val="bullet"/>
      <w:lvlText w:val=""/>
      <w:lvlJc w:val="left"/>
      <w:pPr>
        <w:ind w:left="6480" w:hanging="360"/>
      </w:pPr>
      <w:rPr>
        <w:rFonts w:ascii="Wingdings" w:hAnsi="Wingdings" w:hint="default"/>
      </w:rPr>
    </w:lvl>
  </w:abstractNum>
  <w:abstractNum w:abstractNumId="16" w15:restartNumberingAfterBreak="0">
    <w:nsid w:val="720454FB"/>
    <w:multiLevelType w:val="hybridMultilevel"/>
    <w:tmpl w:val="BDF288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5"/>
  </w:num>
  <w:num w:numId="4">
    <w:abstractNumId w:val="8"/>
  </w:num>
  <w:num w:numId="5">
    <w:abstractNumId w:val="10"/>
  </w:num>
  <w:num w:numId="6">
    <w:abstractNumId w:val="7"/>
  </w:num>
  <w:num w:numId="7">
    <w:abstractNumId w:val="5"/>
  </w:num>
  <w:num w:numId="8">
    <w:abstractNumId w:val="9"/>
  </w:num>
  <w:num w:numId="9">
    <w:abstractNumId w:val="0"/>
  </w:num>
  <w:num w:numId="10">
    <w:abstractNumId w:val="3"/>
  </w:num>
  <w:num w:numId="11">
    <w:abstractNumId w:val="12"/>
  </w:num>
  <w:num w:numId="12">
    <w:abstractNumId w:val="13"/>
  </w:num>
  <w:num w:numId="13">
    <w:abstractNumId w:val="11"/>
  </w:num>
  <w:num w:numId="14">
    <w:abstractNumId w:val="2"/>
  </w:num>
  <w:num w:numId="15">
    <w:abstractNumId w:val="1"/>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7E"/>
    <w:rsid w:val="00016121"/>
    <w:rsid w:val="00022433"/>
    <w:rsid w:val="000A354D"/>
    <w:rsid w:val="000B26AB"/>
    <w:rsid w:val="000C0A63"/>
    <w:rsid w:val="000C24ED"/>
    <w:rsid w:val="000D2261"/>
    <w:rsid w:val="000F0A69"/>
    <w:rsid w:val="00105CD2"/>
    <w:rsid w:val="00147F54"/>
    <w:rsid w:val="001500CF"/>
    <w:rsid w:val="00152FCE"/>
    <w:rsid w:val="00166E4A"/>
    <w:rsid w:val="00181A3A"/>
    <w:rsid w:val="001A06F0"/>
    <w:rsid w:val="00202F4B"/>
    <w:rsid w:val="002352D8"/>
    <w:rsid w:val="002C344B"/>
    <w:rsid w:val="002C72C3"/>
    <w:rsid w:val="002E7AAB"/>
    <w:rsid w:val="002F5918"/>
    <w:rsid w:val="003134C5"/>
    <w:rsid w:val="003165DE"/>
    <w:rsid w:val="00316FB3"/>
    <w:rsid w:val="00364801"/>
    <w:rsid w:val="00370AB9"/>
    <w:rsid w:val="0039578A"/>
    <w:rsid w:val="003C3339"/>
    <w:rsid w:val="003C6A79"/>
    <w:rsid w:val="003C71FF"/>
    <w:rsid w:val="003D0152"/>
    <w:rsid w:val="003E420E"/>
    <w:rsid w:val="00412B73"/>
    <w:rsid w:val="0044052B"/>
    <w:rsid w:val="00460995"/>
    <w:rsid w:val="00464126"/>
    <w:rsid w:val="0046754E"/>
    <w:rsid w:val="00470F0D"/>
    <w:rsid w:val="00472261"/>
    <w:rsid w:val="0049320B"/>
    <w:rsid w:val="004A111D"/>
    <w:rsid w:val="004B2E7D"/>
    <w:rsid w:val="004B74AD"/>
    <w:rsid w:val="004D3B6A"/>
    <w:rsid w:val="004D3C32"/>
    <w:rsid w:val="004D6072"/>
    <w:rsid w:val="00500535"/>
    <w:rsid w:val="0050299D"/>
    <w:rsid w:val="005042A2"/>
    <w:rsid w:val="0050AC8C"/>
    <w:rsid w:val="0055210D"/>
    <w:rsid w:val="00565780"/>
    <w:rsid w:val="005722CA"/>
    <w:rsid w:val="005A4F44"/>
    <w:rsid w:val="005C1111"/>
    <w:rsid w:val="005C3620"/>
    <w:rsid w:val="005C5A31"/>
    <w:rsid w:val="005E7EA1"/>
    <w:rsid w:val="005F3364"/>
    <w:rsid w:val="00623045"/>
    <w:rsid w:val="00661A31"/>
    <w:rsid w:val="00683212"/>
    <w:rsid w:val="006F4FBD"/>
    <w:rsid w:val="00752CCA"/>
    <w:rsid w:val="007617E3"/>
    <w:rsid w:val="0078497D"/>
    <w:rsid w:val="007A293F"/>
    <w:rsid w:val="007B514F"/>
    <w:rsid w:val="00803A65"/>
    <w:rsid w:val="008123D1"/>
    <w:rsid w:val="0083383E"/>
    <w:rsid w:val="0085017C"/>
    <w:rsid w:val="008601F1"/>
    <w:rsid w:val="0086544A"/>
    <w:rsid w:val="008B6214"/>
    <w:rsid w:val="008B73C0"/>
    <w:rsid w:val="008F16EE"/>
    <w:rsid w:val="008F1EE1"/>
    <w:rsid w:val="0092349A"/>
    <w:rsid w:val="009270AA"/>
    <w:rsid w:val="009502D1"/>
    <w:rsid w:val="009BB5BA"/>
    <w:rsid w:val="00A05679"/>
    <w:rsid w:val="00A33D5E"/>
    <w:rsid w:val="00A34909"/>
    <w:rsid w:val="00A366AE"/>
    <w:rsid w:val="00A42337"/>
    <w:rsid w:val="00A46660"/>
    <w:rsid w:val="00A47A72"/>
    <w:rsid w:val="00A634A5"/>
    <w:rsid w:val="00A76391"/>
    <w:rsid w:val="00AB0C23"/>
    <w:rsid w:val="00AB1251"/>
    <w:rsid w:val="00AC448C"/>
    <w:rsid w:val="00AE4A75"/>
    <w:rsid w:val="00AF373C"/>
    <w:rsid w:val="00B05967"/>
    <w:rsid w:val="00B06AB4"/>
    <w:rsid w:val="00B13F05"/>
    <w:rsid w:val="00B21566"/>
    <w:rsid w:val="00B27259"/>
    <w:rsid w:val="00B313C8"/>
    <w:rsid w:val="00B36C88"/>
    <w:rsid w:val="00B419E0"/>
    <w:rsid w:val="00B5674D"/>
    <w:rsid w:val="00B81821"/>
    <w:rsid w:val="00BA3496"/>
    <w:rsid w:val="00BB1782"/>
    <w:rsid w:val="00BC637F"/>
    <w:rsid w:val="00BE74F1"/>
    <w:rsid w:val="00C04BF8"/>
    <w:rsid w:val="00C21DFF"/>
    <w:rsid w:val="00C34755"/>
    <w:rsid w:val="00C74D48"/>
    <w:rsid w:val="00C8724A"/>
    <w:rsid w:val="00CD6A91"/>
    <w:rsid w:val="00D25B7E"/>
    <w:rsid w:val="00D33FD6"/>
    <w:rsid w:val="00D40090"/>
    <w:rsid w:val="00D6466C"/>
    <w:rsid w:val="00D679BD"/>
    <w:rsid w:val="00D893AF"/>
    <w:rsid w:val="00D92506"/>
    <w:rsid w:val="00DF51AE"/>
    <w:rsid w:val="00E1520C"/>
    <w:rsid w:val="00E30B25"/>
    <w:rsid w:val="00E6751E"/>
    <w:rsid w:val="00E839B6"/>
    <w:rsid w:val="00E96380"/>
    <w:rsid w:val="00EC62CD"/>
    <w:rsid w:val="00EF5B66"/>
    <w:rsid w:val="00F24F16"/>
    <w:rsid w:val="00F45F92"/>
    <w:rsid w:val="00FA70E4"/>
    <w:rsid w:val="00FB2326"/>
    <w:rsid w:val="00FB79A1"/>
    <w:rsid w:val="00FD130D"/>
    <w:rsid w:val="00FD66F1"/>
    <w:rsid w:val="00FE7E4C"/>
    <w:rsid w:val="0138E1B8"/>
    <w:rsid w:val="013F119D"/>
    <w:rsid w:val="01C5CD28"/>
    <w:rsid w:val="01C63EC5"/>
    <w:rsid w:val="022231D1"/>
    <w:rsid w:val="02E96F79"/>
    <w:rsid w:val="02ED4949"/>
    <w:rsid w:val="034D3B24"/>
    <w:rsid w:val="03DA21EF"/>
    <w:rsid w:val="03E73549"/>
    <w:rsid w:val="03F4E1A4"/>
    <w:rsid w:val="0484217C"/>
    <w:rsid w:val="049CAAEB"/>
    <w:rsid w:val="04CB2903"/>
    <w:rsid w:val="04D75395"/>
    <w:rsid w:val="04E2C3D4"/>
    <w:rsid w:val="050D8BF2"/>
    <w:rsid w:val="05223C30"/>
    <w:rsid w:val="053BFE07"/>
    <w:rsid w:val="06422934"/>
    <w:rsid w:val="06789FD5"/>
    <w:rsid w:val="06894A91"/>
    <w:rsid w:val="068A449A"/>
    <w:rsid w:val="06AAFA3F"/>
    <w:rsid w:val="06BADB9A"/>
    <w:rsid w:val="06BC29DF"/>
    <w:rsid w:val="06E3BF47"/>
    <w:rsid w:val="06F3DF14"/>
    <w:rsid w:val="07023318"/>
    <w:rsid w:val="0708EFBB"/>
    <w:rsid w:val="07340E76"/>
    <w:rsid w:val="07490126"/>
    <w:rsid w:val="07497A8D"/>
    <w:rsid w:val="07DCB7FB"/>
    <w:rsid w:val="07F1D4C0"/>
    <w:rsid w:val="08742D25"/>
    <w:rsid w:val="08AF3269"/>
    <w:rsid w:val="08DF9208"/>
    <w:rsid w:val="08EDA885"/>
    <w:rsid w:val="08EDECAB"/>
    <w:rsid w:val="09320762"/>
    <w:rsid w:val="095896BA"/>
    <w:rsid w:val="0A2BBC15"/>
    <w:rsid w:val="0A332BAF"/>
    <w:rsid w:val="0A94BA9D"/>
    <w:rsid w:val="0ABB9BA1"/>
    <w:rsid w:val="0ABC0746"/>
    <w:rsid w:val="0AC7C467"/>
    <w:rsid w:val="0B10497D"/>
    <w:rsid w:val="0B4AF876"/>
    <w:rsid w:val="0B777D54"/>
    <w:rsid w:val="0B9BFD7F"/>
    <w:rsid w:val="0BE85857"/>
    <w:rsid w:val="0BF276A7"/>
    <w:rsid w:val="0C0ED7B3"/>
    <w:rsid w:val="0C879B2B"/>
    <w:rsid w:val="0C894E8A"/>
    <w:rsid w:val="0D0E7066"/>
    <w:rsid w:val="0D64EFE6"/>
    <w:rsid w:val="0D7EBF3A"/>
    <w:rsid w:val="0D888D0E"/>
    <w:rsid w:val="0DCF3FF8"/>
    <w:rsid w:val="0E21A463"/>
    <w:rsid w:val="0E665EC5"/>
    <w:rsid w:val="0E694E0A"/>
    <w:rsid w:val="0E6F1461"/>
    <w:rsid w:val="0E7026F0"/>
    <w:rsid w:val="0E9A95B3"/>
    <w:rsid w:val="0EB3FBFC"/>
    <w:rsid w:val="0EBB3E61"/>
    <w:rsid w:val="0ED6480E"/>
    <w:rsid w:val="0F9ECC71"/>
    <w:rsid w:val="0FAAEE57"/>
    <w:rsid w:val="0FE6F582"/>
    <w:rsid w:val="0FEA8389"/>
    <w:rsid w:val="102B689A"/>
    <w:rsid w:val="102F4277"/>
    <w:rsid w:val="1074F5CB"/>
    <w:rsid w:val="10834429"/>
    <w:rsid w:val="10999B2A"/>
    <w:rsid w:val="10ACAB40"/>
    <w:rsid w:val="11B6DBAE"/>
    <w:rsid w:val="1277DECE"/>
    <w:rsid w:val="12C5451F"/>
    <w:rsid w:val="135DEBC2"/>
    <w:rsid w:val="136520A5"/>
    <w:rsid w:val="137A09D0"/>
    <w:rsid w:val="13C77CF3"/>
    <w:rsid w:val="13C9B319"/>
    <w:rsid w:val="14491995"/>
    <w:rsid w:val="144CEBC3"/>
    <w:rsid w:val="1460DDBA"/>
    <w:rsid w:val="146937A5"/>
    <w:rsid w:val="146F62A1"/>
    <w:rsid w:val="14B88208"/>
    <w:rsid w:val="14FFFD89"/>
    <w:rsid w:val="151C59AA"/>
    <w:rsid w:val="153E68B3"/>
    <w:rsid w:val="15491141"/>
    <w:rsid w:val="15B54AEA"/>
    <w:rsid w:val="15CF7675"/>
    <w:rsid w:val="15D8B93B"/>
    <w:rsid w:val="16011DA9"/>
    <w:rsid w:val="165A7504"/>
    <w:rsid w:val="16EA20DB"/>
    <w:rsid w:val="16F66565"/>
    <w:rsid w:val="1735C753"/>
    <w:rsid w:val="173FD6CC"/>
    <w:rsid w:val="1749487D"/>
    <w:rsid w:val="177EF10A"/>
    <w:rsid w:val="17CA0A42"/>
    <w:rsid w:val="17D327FF"/>
    <w:rsid w:val="18057656"/>
    <w:rsid w:val="1814124B"/>
    <w:rsid w:val="1816244D"/>
    <w:rsid w:val="1875A472"/>
    <w:rsid w:val="19285AA4"/>
    <w:rsid w:val="193C8E24"/>
    <w:rsid w:val="1942EC8C"/>
    <w:rsid w:val="197A7205"/>
    <w:rsid w:val="197F98A8"/>
    <w:rsid w:val="199EFAE5"/>
    <w:rsid w:val="19A5D754"/>
    <w:rsid w:val="1A0BB32E"/>
    <w:rsid w:val="1A1D88ED"/>
    <w:rsid w:val="1AA53B10"/>
    <w:rsid w:val="1B3EA1A6"/>
    <w:rsid w:val="1B6AB4EB"/>
    <w:rsid w:val="1BAE3AD8"/>
    <w:rsid w:val="1BFDDCBC"/>
    <w:rsid w:val="1C3A76D0"/>
    <w:rsid w:val="1C3FEFF2"/>
    <w:rsid w:val="1C6B7829"/>
    <w:rsid w:val="1C71B027"/>
    <w:rsid w:val="1C8D15BD"/>
    <w:rsid w:val="1CE726EC"/>
    <w:rsid w:val="1CFDFE2A"/>
    <w:rsid w:val="1D09E9B3"/>
    <w:rsid w:val="1D251AC0"/>
    <w:rsid w:val="1D934D54"/>
    <w:rsid w:val="1DC3C03B"/>
    <w:rsid w:val="1E8CD3DC"/>
    <w:rsid w:val="1F285E30"/>
    <w:rsid w:val="1F2C6A99"/>
    <w:rsid w:val="1F3FA1CB"/>
    <w:rsid w:val="1F72BB7E"/>
    <w:rsid w:val="1F867B9C"/>
    <w:rsid w:val="1F97A1CC"/>
    <w:rsid w:val="1FFD921B"/>
    <w:rsid w:val="20158BA0"/>
    <w:rsid w:val="20189718"/>
    <w:rsid w:val="206978A9"/>
    <w:rsid w:val="20BDD188"/>
    <w:rsid w:val="20BF7AF1"/>
    <w:rsid w:val="21BF4820"/>
    <w:rsid w:val="22157B65"/>
    <w:rsid w:val="224B1C4A"/>
    <w:rsid w:val="22745303"/>
    <w:rsid w:val="22DE3BA2"/>
    <w:rsid w:val="22ED05D7"/>
    <w:rsid w:val="22F5182B"/>
    <w:rsid w:val="22FB38FA"/>
    <w:rsid w:val="22FDFC2E"/>
    <w:rsid w:val="230605A7"/>
    <w:rsid w:val="2344C4C9"/>
    <w:rsid w:val="237F2F23"/>
    <w:rsid w:val="238A28A5"/>
    <w:rsid w:val="23AB9770"/>
    <w:rsid w:val="23C0478E"/>
    <w:rsid w:val="24112557"/>
    <w:rsid w:val="2462F23B"/>
    <w:rsid w:val="248A67C3"/>
    <w:rsid w:val="24972573"/>
    <w:rsid w:val="2527AD5A"/>
    <w:rsid w:val="2562647C"/>
    <w:rsid w:val="25C5966E"/>
    <w:rsid w:val="25C5FA2B"/>
    <w:rsid w:val="25C6BEE0"/>
    <w:rsid w:val="25FF863E"/>
    <w:rsid w:val="26549219"/>
    <w:rsid w:val="265835DF"/>
    <w:rsid w:val="266F9DE0"/>
    <w:rsid w:val="26832DCA"/>
    <w:rsid w:val="26B7DEA7"/>
    <w:rsid w:val="26F778D3"/>
    <w:rsid w:val="271BCEF7"/>
    <w:rsid w:val="2769C338"/>
    <w:rsid w:val="2793F6C2"/>
    <w:rsid w:val="28015E59"/>
    <w:rsid w:val="286148C1"/>
    <w:rsid w:val="28695FB4"/>
    <w:rsid w:val="2892BD21"/>
    <w:rsid w:val="28A70D07"/>
    <w:rsid w:val="28FC034F"/>
    <w:rsid w:val="297038FF"/>
    <w:rsid w:val="298612C1"/>
    <w:rsid w:val="29A03F8D"/>
    <w:rsid w:val="29B6F3DF"/>
    <w:rsid w:val="2A295B8D"/>
    <w:rsid w:val="2AFCE562"/>
    <w:rsid w:val="2B0CB4D2"/>
    <w:rsid w:val="2B565071"/>
    <w:rsid w:val="2B57405F"/>
    <w:rsid w:val="2B60CA54"/>
    <w:rsid w:val="2BE3B39D"/>
    <w:rsid w:val="2BF20953"/>
    <w:rsid w:val="2C1B3549"/>
    <w:rsid w:val="2C3280FC"/>
    <w:rsid w:val="2C35606E"/>
    <w:rsid w:val="2C974775"/>
    <w:rsid w:val="2CC0ECF3"/>
    <w:rsid w:val="2CF7EF44"/>
    <w:rsid w:val="2CFA63DE"/>
    <w:rsid w:val="2D21B261"/>
    <w:rsid w:val="2D392EE3"/>
    <w:rsid w:val="2D3D9AEC"/>
    <w:rsid w:val="2D7A017F"/>
    <w:rsid w:val="2D8F61D8"/>
    <w:rsid w:val="2DAE1DAD"/>
    <w:rsid w:val="2E535EDD"/>
    <w:rsid w:val="2E647BBF"/>
    <w:rsid w:val="2E77653F"/>
    <w:rsid w:val="2E907A6E"/>
    <w:rsid w:val="2EA5DAF0"/>
    <w:rsid w:val="2F2D8A09"/>
    <w:rsid w:val="2F43B3C2"/>
    <w:rsid w:val="2FE996AD"/>
    <w:rsid w:val="30260A7B"/>
    <w:rsid w:val="3042EBCE"/>
    <w:rsid w:val="30D7FF3C"/>
    <w:rsid w:val="30F1B758"/>
    <w:rsid w:val="31ADF99B"/>
    <w:rsid w:val="31BC74EC"/>
    <w:rsid w:val="31D7B062"/>
    <w:rsid w:val="31F29CF6"/>
    <w:rsid w:val="33A5A527"/>
    <w:rsid w:val="33EB928C"/>
    <w:rsid w:val="3406B474"/>
    <w:rsid w:val="3412E54E"/>
    <w:rsid w:val="34F97A12"/>
    <w:rsid w:val="357ECD67"/>
    <w:rsid w:val="35D15560"/>
    <w:rsid w:val="36A5CE15"/>
    <w:rsid w:val="37011840"/>
    <w:rsid w:val="37198C23"/>
    <w:rsid w:val="372A62DF"/>
    <w:rsid w:val="372C9DED"/>
    <w:rsid w:val="376FFE98"/>
    <w:rsid w:val="37AA53DA"/>
    <w:rsid w:val="3844EC56"/>
    <w:rsid w:val="38B6EA82"/>
    <w:rsid w:val="38CE94C1"/>
    <w:rsid w:val="396B3752"/>
    <w:rsid w:val="3A39B2C3"/>
    <w:rsid w:val="3A497456"/>
    <w:rsid w:val="3A5CC780"/>
    <w:rsid w:val="3A641E3C"/>
    <w:rsid w:val="3A64B413"/>
    <w:rsid w:val="3A70E03E"/>
    <w:rsid w:val="3AF49CA7"/>
    <w:rsid w:val="3AF78199"/>
    <w:rsid w:val="3B2C5BC2"/>
    <w:rsid w:val="3BB1BAA4"/>
    <w:rsid w:val="3BBE6C2D"/>
    <w:rsid w:val="3BDB9D4C"/>
    <w:rsid w:val="3C5B3859"/>
    <w:rsid w:val="3C737E68"/>
    <w:rsid w:val="3C7D2BEB"/>
    <w:rsid w:val="3CB057E8"/>
    <w:rsid w:val="3D10A350"/>
    <w:rsid w:val="3D190F39"/>
    <w:rsid w:val="3D59EB15"/>
    <w:rsid w:val="3D6E53C3"/>
    <w:rsid w:val="3D7B338A"/>
    <w:rsid w:val="3D7D6F8F"/>
    <w:rsid w:val="3E00DB20"/>
    <w:rsid w:val="3E1143D4"/>
    <w:rsid w:val="3E16F437"/>
    <w:rsid w:val="3E3CAAAD"/>
    <w:rsid w:val="3E4821D2"/>
    <w:rsid w:val="3E855A15"/>
    <w:rsid w:val="3EA2FF74"/>
    <w:rsid w:val="3EE04F33"/>
    <w:rsid w:val="3EF7E70A"/>
    <w:rsid w:val="3F5487CC"/>
    <w:rsid w:val="3FFC9EEA"/>
    <w:rsid w:val="403AF3DB"/>
    <w:rsid w:val="40B95D3A"/>
    <w:rsid w:val="40C1967A"/>
    <w:rsid w:val="40F6BA37"/>
    <w:rsid w:val="41146C04"/>
    <w:rsid w:val="418C6CBD"/>
    <w:rsid w:val="41EFD7FD"/>
    <w:rsid w:val="420F2FB9"/>
    <w:rsid w:val="422E9A28"/>
    <w:rsid w:val="4239AA6D"/>
    <w:rsid w:val="4258B2DF"/>
    <w:rsid w:val="426827C0"/>
    <w:rsid w:val="428452D0"/>
    <w:rsid w:val="42BD86F6"/>
    <w:rsid w:val="42EFD71E"/>
    <w:rsid w:val="44189531"/>
    <w:rsid w:val="444B1A1F"/>
    <w:rsid w:val="4460FDB3"/>
    <w:rsid w:val="4494739F"/>
    <w:rsid w:val="45049E9A"/>
    <w:rsid w:val="454D557F"/>
    <w:rsid w:val="45553F8F"/>
    <w:rsid w:val="45B49BA5"/>
    <w:rsid w:val="45E8F242"/>
    <w:rsid w:val="46019909"/>
    <w:rsid w:val="46267F82"/>
    <w:rsid w:val="464E8FE3"/>
    <w:rsid w:val="4718B128"/>
    <w:rsid w:val="47DD6152"/>
    <w:rsid w:val="47E487E5"/>
    <w:rsid w:val="48772CDA"/>
    <w:rsid w:val="4886A14C"/>
    <w:rsid w:val="48CB79D3"/>
    <w:rsid w:val="490CD6FF"/>
    <w:rsid w:val="497AF977"/>
    <w:rsid w:val="4AD7F204"/>
    <w:rsid w:val="4B297762"/>
    <w:rsid w:val="4BD408BB"/>
    <w:rsid w:val="4C3F5F59"/>
    <w:rsid w:val="4C7D296C"/>
    <w:rsid w:val="4C86390D"/>
    <w:rsid w:val="4CD0DEB9"/>
    <w:rsid w:val="4D0D5F9C"/>
    <w:rsid w:val="4D61C517"/>
    <w:rsid w:val="4D8C4886"/>
    <w:rsid w:val="4DC63A86"/>
    <w:rsid w:val="4E001CC1"/>
    <w:rsid w:val="4E471ECB"/>
    <w:rsid w:val="4E55B27E"/>
    <w:rsid w:val="4EE03567"/>
    <w:rsid w:val="4EE33F43"/>
    <w:rsid w:val="4EE3FD0D"/>
    <w:rsid w:val="4F015C33"/>
    <w:rsid w:val="4F11D052"/>
    <w:rsid w:val="4F7B36A9"/>
    <w:rsid w:val="4FA4881F"/>
    <w:rsid w:val="502323E1"/>
    <w:rsid w:val="50829412"/>
    <w:rsid w:val="509B2502"/>
    <w:rsid w:val="50D33CAB"/>
    <w:rsid w:val="50D5734F"/>
    <w:rsid w:val="50D811F6"/>
    <w:rsid w:val="50E535D0"/>
    <w:rsid w:val="51174A63"/>
    <w:rsid w:val="5135FCFF"/>
    <w:rsid w:val="513DC5FC"/>
    <w:rsid w:val="51771819"/>
    <w:rsid w:val="518F63B5"/>
    <w:rsid w:val="51B7980F"/>
    <w:rsid w:val="52418E3F"/>
    <w:rsid w:val="5264744E"/>
    <w:rsid w:val="526A7A26"/>
    <w:rsid w:val="52CC9A43"/>
    <w:rsid w:val="532195B6"/>
    <w:rsid w:val="53324D08"/>
    <w:rsid w:val="535CD9E3"/>
    <w:rsid w:val="53749034"/>
    <w:rsid w:val="53C26DFB"/>
    <w:rsid w:val="5402A298"/>
    <w:rsid w:val="541FFF55"/>
    <w:rsid w:val="546ABCD8"/>
    <w:rsid w:val="54C69C7A"/>
    <w:rsid w:val="54E2E045"/>
    <w:rsid w:val="54F55341"/>
    <w:rsid w:val="551D6628"/>
    <w:rsid w:val="5596CF85"/>
    <w:rsid w:val="55EE6B1F"/>
    <w:rsid w:val="5639143A"/>
    <w:rsid w:val="56576AEA"/>
    <w:rsid w:val="56800677"/>
    <w:rsid w:val="5682590A"/>
    <w:rsid w:val="56A6B936"/>
    <w:rsid w:val="56ABD661"/>
    <w:rsid w:val="570B98E9"/>
    <w:rsid w:val="578C2837"/>
    <w:rsid w:val="57F4AD3D"/>
    <w:rsid w:val="57F881DE"/>
    <w:rsid w:val="5804B3BC"/>
    <w:rsid w:val="59396AA2"/>
    <w:rsid w:val="594FFC22"/>
    <w:rsid w:val="59AE77B4"/>
    <w:rsid w:val="59B3101E"/>
    <w:rsid w:val="59B6BCB6"/>
    <w:rsid w:val="59DA49F6"/>
    <w:rsid w:val="59F8CE9C"/>
    <w:rsid w:val="5A12C6EF"/>
    <w:rsid w:val="5ADDF76D"/>
    <w:rsid w:val="5AEDA87B"/>
    <w:rsid w:val="5B3DF51C"/>
    <w:rsid w:val="5B5359EE"/>
    <w:rsid w:val="5BABFBDA"/>
    <w:rsid w:val="5C0DDFA8"/>
    <w:rsid w:val="5C85D1E9"/>
    <w:rsid w:val="5C8EF23A"/>
    <w:rsid w:val="5C9772B8"/>
    <w:rsid w:val="5CC25C45"/>
    <w:rsid w:val="5CC318C9"/>
    <w:rsid w:val="5D2DF51B"/>
    <w:rsid w:val="5D5027CD"/>
    <w:rsid w:val="5D7052AF"/>
    <w:rsid w:val="5D71E44E"/>
    <w:rsid w:val="5DECCCC3"/>
    <w:rsid w:val="5E26F99A"/>
    <w:rsid w:val="5E843437"/>
    <w:rsid w:val="5EB67C85"/>
    <w:rsid w:val="5ED23486"/>
    <w:rsid w:val="5F09D1BF"/>
    <w:rsid w:val="5F193E0D"/>
    <w:rsid w:val="5F868F29"/>
    <w:rsid w:val="5FADE487"/>
    <w:rsid w:val="6084A764"/>
    <w:rsid w:val="60ACA761"/>
    <w:rsid w:val="60B8FDD0"/>
    <w:rsid w:val="60C7C187"/>
    <w:rsid w:val="60E27F38"/>
    <w:rsid w:val="61E168A5"/>
    <w:rsid w:val="61EA1C8F"/>
    <w:rsid w:val="620CD216"/>
    <w:rsid w:val="62475D26"/>
    <w:rsid w:val="624D6EB8"/>
    <w:rsid w:val="6296D2BF"/>
    <w:rsid w:val="62B900D7"/>
    <w:rsid w:val="62D56FDC"/>
    <w:rsid w:val="632D3D13"/>
    <w:rsid w:val="63658B44"/>
    <w:rsid w:val="6429ED17"/>
    <w:rsid w:val="644042AE"/>
    <w:rsid w:val="64478E23"/>
    <w:rsid w:val="646ACCEA"/>
    <w:rsid w:val="64A41F2B"/>
    <w:rsid w:val="64B005F0"/>
    <w:rsid w:val="654185E9"/>
    <w:rsid w:val="6547A09D"/>
    <w:rsid w:val="65503326"/>
    <w:rsid w:val="6551205E"/>
    <w:rsid w:val="65752F24"/>
    <w:rsid w:val="65765C7B"/>
    <w:rsid w:val="66990320"/>
    <w:rsid w:val="669C4B11"/>
    <w:rsid w:val="675EE7AA"/>
    <w:rsid w:val="67A51CB1"/>
    <w:rsid w:val="67BB20DD"/>
    <w:rsid w:val="681FADAE"/>
    <w:rsid w:val="68A938A4"/>
    <w:rsid w:val="691E0289"/>
    <w:rsid w:val="69219135"/>
    <w:rsid w:val="699CD51A"/>
    <w:rsid w:val="69AB1D43"/>
    <w:rsid w:val="69C634C7"/>
    <w:rsid w:val="6A54514E"/>
    <w:rsid w:val="6A98EEF9"/>
    <w:rsid w:val="6A9FFBD3"/>
    <w:rsid w:val="6AA6ADDB"/>
    <w:rsid w:val="6ACC2612"/>
    <w:rsid w:val="6AFC0607"/>
    <w:rsid w:val="6B0EA708"/>
    <w:rsid w:val="6B3BE610"/>
    <w:rsid w:val="6B3C2B77"/>
    <w:rsid w:val="6B438C3C"/>
    <w:rsid w:val="6BA8178B"/>
    <w:rsid w:val="6BE8BF0C"/>
    <w:rsid w:val="6C128B32"/>
    <w:rsid w:val="6C207B3F"/>
    <w:rsid w:val="6C63B021"/>
    <w:rsid w:val="6CD67AD3"/>
    <w:rsid w:val="6D97A6AC"/>
    <w:rsid w:val="6DC1A914"/>
    <w:rsid w:val="6DC55A19"/>
    <w:rsid w:val="6DFF04CD"/>
    <w:rsid w:val="6E23B55A"/>
    <w:rsid w:val="6E25BCB9"/>
    <w:rsid w:val="6E4383E5"/>
    <w:rsid w:val="6E961E2C"/>
    <w:rsid w:val="6F6F01E0"/>
    <w:rsid w:val="6FDF7A05"/>
    <w:rsid w:val="7011C29D"/>
    <w:rsid w:val="701C0C4F"/>
    <w:rsid w:val="70225E16"/>
    <w:rsid w:val="70334650"/>
    <w:rsid w:val="70877852"/>
    <w:rsid w:val="709E028A"/>
    <w:rsid w:val="70E2A5B9"/>
    <w:rsid w:val="712437ED"/>
    <w:rsid w:val="714BD58B"/>
    <w:rsid w:val="71B64EDE"/>
    <w:rsid w:val="71C9BCEE"/>
    <w:rsid w:val="723A92CE"/>
    <w:rsid w:val="724FCB43"/>
    <w:rsid w:val="72661AB4"/>
    <w:rsid w:val="728E1041"/>
    <w:rsid w:val="729D614C"/>
    <w:rsid w:val="730478AF"/>
    <w:rsid w:val="73096EC8"/>
    <w:rsid w:val="736A0023"/>
    <w:rsid w:val="737DD441"/>
    <w:rsid w:val="73AC0A33"/>
    <w:rsid w:val="73B542FC"/>
    <w:rsid w:val="73C0E448"/>
    <w:rsid w:val="73DF8F4D"/>
    <w:rsid w:val="73E30B0B"/>
    <w:rsid w:val="73F8CBE7"/>
    <w:rsid w:val="74933CED"/>
    <w:rsid w:val="74A0D42F"/>
    <w:rsid w:val="757AE29E"/>
    <w:rsid w:val="757ECF48"/>
    <w:rsid w:val="7616FE99"/>
    <w:rsid w:val="764A5361"/>
    <w:rsid w:val="76BC4F39"/>
    <w:rsid w:val="77040E2C"/>
    <w:rsid w:val="775B62B8"/>
    <w:rsid w:val="7779BDEA"/>
    <w:rsid w:val="780106F8"/>
    <w:rsid w:val="781C9423"/>
    <w:rsid w:val="7820FBE4"/>
    <w:rsid w:val="784BE100"/>
    <w:rsid w:val="7851EC09"/>
    <w:rsid w:val="78522D5A"/>
    <w:rsid w:val="78826B32"/>
    <w:rsid w:val="78BDE07C"/>
    <w:rsid w:val="78D76B0B"/>
    <w:rsid w:val="78F8CC6D"/>
    <w:rsid w:val="790C20E0"/>
    <w:rsid w:val="793E00C5"/>
    <w:rsid w:val="7940213C"/>
    <w:rsid w:val="794B9A3F"/>
    <w:rsid w:val="7A0FD2EB"/>
    <w:rsid w:val="7A1FED56"/>
    <w:rsid w:val="7A321484"/>
    <w:rsid w:val="7A996743"/>
    <w:rsid w:val="7ADDCBA3"/>
    <w:rsid w:val="7B01346A"/>
    <w:rsid w:val="7B13C3F3"/>
    <w:rsid w:val="7B1E1724"/>
    <w:rsid w:val="7B3E14DF"/>
    <w:rsid w:val="7B7D81AA"/>
    <w:rsid w:val="7B821D2C"/>
    <w:rsid w:val="7B8DB396"/>
    <w:rsid w:val="7BD37F10"/>
    <w:rsid w:val="7BDD240E"/>
    <w:rsid w:val="7BFD7CBD"/>
    <w:rsid w:val="7C232E67"/>
    <w:rsid w:val="7C57CCF5"/>
    <w:rsid w:val="7C61B2AF"/>
    <w:rsid w:val="7C639B5A"/>
    <w:rsid w:val="7C81CAB7"/>
    <w:rsid w:val="7CC0C43F"/>
    <w:rsid w:val="7CE58447"/>
    <w:rsid w:val="7D00E11A"/>
    <w:rsid w:val="7D3895B8"/>
    <w:rsid w:val="7D6DCC4A"/>
    <w:rsid w:val="7E11F794"/>
    <w:rsid w:val="7E445D08"/>
    <w:rsid w:val="7E96FC2F"/>
    <w:rsid w:val="7ECA1F37"/>
    <w:rsid w:val="7EDB7912"/>
    <w:rsid w:val="7EEE4AD5"/>
    <w:rsid w:val="7F4690A1"/>
    <w:rsid w:val="7F607126"/>
    <w:rsid w:val="7FDB4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3B0"/>
  <w15:chartTrackingRefBased/>
  <w15:docId w15:val="{F67EE0DC-DD0E-4085-805A-CD370EE4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A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22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A3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63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4A5"/>
    <w:rPr>
      <w:rFonts w:ascii="Segoe UI" w:hAnsi="Segoe UI" w:cs="Segoe UI"/>
      <w:sz w:val="18"/>
      <w:szCs w:val="18"/>
    </w:rPr>
  </w:style>
  <w:style w:type="paragraph" w:styleId="EndnoteText">
    <w:name w:val="endnote text"/>
    <w:basedOn w:val="Normal"/>
    <w:link w:val="EndnoteTextChar"/>
    <w:uiPriority w:val="99"/>
    <w:semiHidden/>
    <w:unhideWhenUsed/>
    <w:rsid w:val="004B2E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2E7D"/>
    <w:rPr>
      <w:sz w:val="20"/>
      <w:szCs w:val="20"/>
    </w:rPr>
  </w:style>
  <w:style w:type="character" w:styleId="EndnoteReference">
    <w:name w:val="endnote reference"/>
    <w:basedOn w:val="DefaultParagraphFont"/>
    <w:uiPriority w:val="99"/>
    <w:semiHidden/>
    <w:unhideWhenUsed/>
    <w:rsid w:val="004B2E7D"/>
    <w:rPr>
      <w:vertAlign w:val="superscript"/>
    </w:rPr>
  </w:style>
  <w:style w:type="paragraph" w:styleId="FootnoteText">
    <w:name w:val="footnote text"/>
    <w:basedOn w:val="Normal"/>
    <w:link w:val="FootnoteTextChar"/>
    <w:uiPriority w:val="99"/>
    <w:semiHidden/>
    <w:unhideWhenUsed/>
    <w:rsid w:val="004B2E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2E7D"/>
    <w:rPr>
      <w:sz w:val="20"/>
      <w:szCs w:val="20"/>
    </w:rPr>
  </w:style>
  <w:style w:type="character" w:styleId="FootnoteReference">
    <w:name w:val="footnote reference"/>
    <w:basedOn w:val="DefaultParagraphFont"/>
    <w:uiPriority w:val="99"/>
    <w:semiHidden/>
    <w:unhideWhenUsed/>
    <w:rsid w:val="004B2E7D"/>
    <w:rPr>
      <w:vertAlign w:val="superscript"/>
    </w:rPr>
  </w:style>
  <w:style w:type="paragraph" w:styleId="Quote">
    <w:name w:val="Quote"/>
    <w:basedOn w:val="Normal"/>
    <w:next w:val="Normal"/>
    <w:link w:val="QuoteChar"/>
    <w:uiPriority w:val="29"/>
    <w:qFormat/>
    <w:rsid w:val="0056578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65780"/>
    <w:rPr>
      <w:i/>
      <w:iCs/>
      <w:color w:val="404040" w:themeColor="text1" w:themeTint="BF"/>
    </w:rPr>
  </w:style>
  <w:style w:type="character" w:customStyle="1" w:styleId="Heading2Char">
    <w:name w:val="Heading 2 Char"/>
    <w:basedOn w:val="DefaultParagraphFont"/>
    <w:link w:val="Heading2"/>
    <w:uiPriority w:val="9"/>
    <w:rsid w:val="000D226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D2261"/>
    <w:pPr>
      <w:ind w:left="720"/>
      <w:contextualSpacing/>
    </w:pPr>
  </w:style>
  <w:style w:type="table" w:styleId="TableGrid">
    <w:name w:val="Table Grid"/>
    <w:basedOn w:val="TableNormal"/>
    <w:uiPriority w:val="39"/>
    <w:rsid w:val="00A34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6A79"/>
    <w:rPr>
      <w:sz w:val="16"/>
      <w:szCs w:val="16"/>
    </w:rPr>
  </w:style>
  <w:style w:type="paragraph" w:styleId="CommentText">
    <w:name w:val="annotation text"/>
    <w:basedOn w:val="Normal"/>
    <w:link w:val="CommentTextChar"/>
    <w:uiPriority w:val="99"/>
    <w:semiHidden/>
    <w:unhideWhenUsed/>
    <w:rsid w:val="003C6A79"/>
    <w:pPr>
      <w:spacing w:line="240" w:lineRule="auto"/>
    </w:pPr>
    <w:rPr>
      <w:sz w:val="20"/>
      <w:szCs w:val="20"/>
    </w:rPr>
  </w:style>
  <w:style w:type="character" w:customStyle="1" w:styleId="CommentTextChar">
    <w:name w:val="Comment Text Char"/>
    <w:basedOn w:val="DefaultParagraphFont"/>
    <w:link w:val="CommentText"/>
    <w:uiPriority w:val="99"/>
    <w:semiHidden/>
    <w:rsid w:val="003C6A79"/>
    <w:rPr>
      <w:sz w:val="20"/>
      <w:szCs w:val="20"/>
    </w:rPr>
  </w:style>
  <w:style w:type="paragraph" w:styleId="CommentSubject">
    <w:name w:val="annotation subject"/>
    <w:basedOn w:val="CommentText"/>
    <w:next w:val="CommentText"/>
    <w:link w:val="CommentSubjectChar"/>
    <w:uiPriority w:val="99"/>
    <w:semiHidden/>
    <w:unhideWhenUsed/>
    <w:rsid w:val="003C6A79"/>
    <w:rPr>
      <w:b/>
      <w:bCs/>
    </w:rPr>
  </w:style>
  <w:style w:type="character" w:customStyle="1" w:styleId="CommentSubjectChar">
    <w:name w:val="Comment Subject Char"/>
    <w:basedOn w:val="CommentTextChar"/>
    <w:link w:val="CommentSubject"/>
    <w:uiPriority w:val="99"/>
    <w:semiHidden/>
    <w:rsid w:val="003C6A79"/>
    <w:rPr>
      <w:b/>
      <w:bCs/>
      <w:sz w:val="20"/>
      <w:szCs w:val="20"/>
    </w:rPr>
  </w:style>
  <w:style w:type="character" w:customStyle="1" w:styleId="authors">
    <w:name w:val="authors"/>
    <w:basedOn w:val="DefaultParagraphFont"/>
    <w:rsid w:val="00E30B25"/>
  </w:style>
  <w:style w:type="character" w:customStyle="1" w:styleId="Date1">
    <w:name w:val="Date1"/>
    <w:basedOn w:val="DefaultParagraphFont"/>
    <w:rsid w:val="00E30B25"/>
  </w:style>
  <w:style w:type="character" w:customStyle="1" w:styleId="arttitle">
    <w:name w:val="art_title"/>
    <w:basedOn w:val="DefaultParagraphFont"/>
    <w:rsid w:val="00E30B25"/>
  </w:style>
  <w:style w:type="character" w:customStyle="1" w:styleId="serialtitle">
    <w:name w:val="serial_title"/>
    <w:basedOn w:val="DefaultParagraphFont"/>
    <w:rsid w:val="00E30B25"/>
  </w:style>
  <w:style w:type="character" w:customStyle="1" w:styleId="volumeissue">
    <w:name w:val="volume_issue"/>
    <w:basedOn w:val="DefaultParagraphFont"/>
    <w:rsid w:val="00E30B25"/>
  </w:style>
  <w:style w:type="character" w:customStyle="1" w:styleId="pagerange">
    <w:name w:val="page_range"/>
    <w:basedOn w:val="DefaultParagraphFont"/>
    <w:rsid w:val="00E30B25"/>
  </w:style>
  <w:style w:type="character" w:customStyle="1" w:styleId="doilink">
    <w:name w:val="doi_link"/>
    <w:basedOn w:val="DefaultParagraphFont"/>
    <w:rsid w:val="00E30B25"/>
  </w:style>
  <w:style w:type="character" w:styleId="Hyperlink">
    <w:name w:val="Hyperlink"/>
    <w:basedOn w:val="DefaultParagraphFont"/>
    <w:uiPriority w:val="99"/>
    <w:unhideWhenUsed/>
    <w:rsid w:val="00E30B25"/>
    <w:rPr>
      <w:color w:val="0000FF"/>
      <w:u w:val="single"/>
    </w:rPr>
  </w:style>
  <w:style w:type="character" w:customStyle="1" w:styleId="epub-sectiontitle">
    <w:name w:val="epub-section__title"/>
    <w:basedOn w:val="DefaultParagraphFont"/>
    <w:rsid w:val="005C1111"/>
  </w:style>
  <w:style w:type="character" w:customStyle="1" w:styleId="dot-separator">
    <w:name w:val="dot-separator"/>
    <w:basedOn w:val="DefaultParagraphFont"/>
    <w:rsid w:val="005C1111"/>
  </w:style>
  <w:style w:type="character" w:customStyle="1" w:styleId="epub-sectiondate">
    <w:name w:val="epub-section__date"/>
    <w:basedOn w:val="DefaultParagraphFont"/>
    <w:rsid w:val="005C1111"/>
  </w:style>
  <w:style w:type="character" w:customStyle="1" w:styleId="epub-sectionpagerange">
    <w:name w:val="epub-section__pagerange"/>
    <w:basedOn w:val="DefaultParagraphFont"/>
    <w:rsid w:val="005C1111"/>
  </w:style>
  <w:style w:type="character" w:customStyle="1" w:styleId="UnresolvedMention1">
    <w:name w:val="Unresolved Mention1"/>
    <w:basedOn w:val="DefaultParagraphFont"/>
    <w:uiPriority w:val="99"/>
    <w:semiHidden/>
    <w:unhideWhenUsed/>
    <w:rsid w:val="005C1111"/>
    <w:rPr>
      <w:color w:val="605E5C"/>
      <w:shd w:val="clear" w:color="auto" w:fill="E1DFDD"/>
    </w:rPr>
  </w:style>
  <w:style w:type="character" w:customStyle="1" w:styleId="selectable">
    <w:name w:val="selectable"/>
    <w:basedOn w:val="DefaultParagraphFont"/>
    <w:rsid w:val="00E1520C"/>
  </w:style>
  <w:style w:type="paragraph" w:styleId="Header">
    <w:name w:val="header"/>
    <w:basedOn w:val="Normal"/>
    <w:link w:val="HeaderChar"/>
    <w:uiPriority w:val="99"/>
    <w:unhideWhenUsed/>
    <w:rsid w:val="00A46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AAB"/>
  </w:style>
  <w:style w:type="paragraph" w:styleId="Footer">
    <w:name w:val="footer"/>
    <w:basedOn w:val="Normal"/>
    <w:link w:val="FooterChar"/>
    <w:uiPriority w:val="99"/>
    <w:unhideWhenUsed/>
    <w:rsid w:val="00A46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AAB"/>
  </w:style>
  <w:style w:type="paragraph" w:styleId="NoSpacing">
    <w:name w:val="No Spacing"/>
    <w:uiPriority w:val="1"/>
    <w:qFormat/>
    <w:rsid w:val="0078497D"/>
    <w:pPr>
      <w:spacing w:after="0" w:line="240" w:lineRule="auto"/>
    </w:pPr>
  </w:style>
  <w:style w:type="character" w:customStyle="1" w:styleId="Mention1">
    <w:name w:val="Mention1"/>
    <w:basedOn w:val="DefaultParagraphFont"/>
    <w:uiPriority w:val="99"/>
    <w:unhideWhenUsed/>
    <w:rsid w:val="008F1EE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68289">
      <w:bodyDiv w:val="1"/>
      <w:marLeft w:val="0"/>
      <w:marRight w:val="0"/>
      <w:marTop w:val="0"/>
      <w:marBottom w:val="0"/>
      <w:divBdr>
        <w:top w:val="none" w:sz="0" w:space="0" w:color="auto"/>
        <w:left w:val="none" w:sz="0" w:space="0" w:color="auto"/>
        <w:bottom w:val="none" w:sz="0" w:space="0" w:color="auto"/>
        <w:right w:val="none" w:sz="0" w:space="0" w:color="auto"/>
      </w:divBdr>
      <w:divsChild>
        <w:div w:id="978151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l.acm.org/doi/proceedings/10.1145/2883851" TargetMode="External"/><Relationship Id="rId18" Type="http://schemas.openxmlformats.org/officeDocument/2006/relationships/hyperlink" Target="https://www.uhi.ac.uk/en/t4-media/one-web/university/privacy-notices/privacy-notice-brightspace-30-06-2020.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hi.ac.uk/en/t4-media/one-web/university/privacy-notices/privacy-notice-brightspace-30-06-2020.pdf" TargetMode="External"/><Relationship Id="rId17" Type="http://schemas.openxmlformats.org/officeDocument/2006/relationships/hyperlink" Target="https://www.jisc.ac.uk/guides/code-of-practice-for-learning-analytics" TargetMode="External"/><Relationship Id="rId2" Type="http://schemas.openxmlformats.org/officeDocument/2006/relationships/customXml" Target="../customXml/item2.xml"/><Relationship Id="rId16" Type="http://schemas.openxmlformats.org/officeDocument/2006/relationships/hyperlink" Target="https://doi.org/10.1080/17439884.2013.77178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educause.edu/-/media/files/library/2020/3/2020_horizon_report_pdf.pdf?la=en&amp;hash=08A92C17998E8113BCB15DCA7BA1F467F303BA80" TargetMode="External"/><Relationship Id="rId5" Type="http://schemas.openxmlformats.org/officeDocument/2006/relationships/numbering" Target="numbering.xml"/><Relationship Id="rId15" Type="http://schemas.openxmlformats.org/officeDocument/2006/relationships/hyperlink" Target="https://library.educause.edu/resources/2020/3/2020-educause-horizon-report-teaching-and-learning-editi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45/2883851.28838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ther_x0020_initiatives_x0020_actions xmlns="4f16a79a-8118-4eaf-be5d-d28905bdc353">Archive</Other_x0020_initiatives_x0020_actions>
    <Other_x0020_initiatives_x0020_retention xmlns="4f16a79a-8118-4eaf-be5d-d28905bdc353">Termination of contractual relationship + 6 years</Other_x0020_initiatives_x0020_retention>
    <Other_x0020_initiatives_x0020_classification xmlns="4f16a79a-8118-4eaf-be5d-d28905bdc353">HE/FE sector collaboration</Other_x0020_initiatives_x0020_classification>
    <Folder xmlns="70e052a2-e816-4cac-85a5-c4bbbbb27793">Data analytics</Fol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CED4F2A72F0D44B74393CAC2B72D4E" ma:contentTypeVersion="4" ma:contentTypeDescription="Create a new document." ma:contentTypeScope="" ma:versionID="9d6d65940e2028d1b19f06ed30fe6bdc">
  <xsd:schema xmlns:xsd="http://www.w3.org/2001/XMLSchema" xmlns:xs="http://www.w3.org/2001/XMLSchema" xmlns:p="http://schemas.microsoft.com/office/2006/metadata/properties" xmlns:ns2="4f16a79a-8118-4eaf-be5d-d28905bdc353" xmlns:ns3="70e052a2-e816-4cac-85a5-c4bbbbb27793" targetNamespace="http://schemas.microsoft.com/office/2006/metadata/properties" ma:root="true" ma:fieldsID="b7d430f9a1bd1acfb2a9f946b3499aad" ns2:_="" ns3:_="">
    <xsd:import namespace="4f16a79a-8118-4eaf-be5d-d28905bdc353"/>
    <xsd:import namespace="70e052a2-e816-4cac-85a5-c4bbbbb27793"/>
    <xsd:element name="properties">
      <xsd:complexType>
        <xsd:sequence>
          <xsd:element name="documentManagement">
            <xsd:complexType>
              <xsd:all>
                <xsd:element ref="ns2:Other_x0020_initiatives_x0020_actions" minOccurs="0"/>
                <xsd:element ref="ns2:Other_x0020_initiatives_x0020_classification" minOccurs="0"/>
                <xsd:element ref="ns2:Other_x0020_initiatives_x0020_retention" minOccurs="0"/>
                <xsd:element ref="ns3: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a79a-8118-4eaf-be5d-d28905bdc353" elementFormDefault="qualified">
    <xsd:import namespace="http://schemas.microsoft.com/office/2006/documentManagement/types"/>
    <xsd:import namespace="http://schemas.microsoft.com/office/infopath/2007/PartnerControls"/>
    <xsd:element name="Other_x0020_initiatives_x0020_actions" ma:index="8" nillable="true" ma:displayName="Other initiatives actions" ma:default="Archive" ma:internalName="Other_x0020_initiatives_x0020_actions">
      <xsd:simpleType>
        <xsd:restriction base="dms:Text">
          <xsd:maxLength value="255"/>
        </xsd:restriction>
      </xsd:simpleType>
    </xsd:element>
    <xsd:element name="Other_x0020_initiatives_x0020_classification" ma:index="9" nillable="true" ma:displayName="Other initiatives classification" ma:default="HE/FE sector collaboration" ma:internalName="Other_x0020_initiatives_x0020_classification">
      <xsd:simpleType>
        <xsd:restriction base="dms:Text">
          <xsd:maxLength value="255"/>
        </xsd:restriction>
      </xsd:simpleType>
    </xsd:element>
    <xsd:element name="Other_x0020_initiatives_x0020_retention" ma:index="10" nillable="true" ma:displayName="Other initiatives retention" ma:default="Termination of contractual relationship + 6 years" ma:internalName="Other_x0020_initiatives_x0020_reten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e052a2-e816-4cac-85a5-c4bbbbb27793" elementFormDefault="qualified">
    <xsd:import namespace="http://schemas.microsoft.com/office/2006/documentManagement/types"/>
    <xsd:import namespace="http://schemas.microsoft.com/office/infopath/2007/PartnerControls"/>
    <xsd:element name="Folder" ma:index="11" nillable="true" ma:displayName="LTA Document Category" ma:default="Uncategorised" ma:format="Dropdown" ma:internalName="Folder">
      <xsd:simpleType>
        <xsd:restriction base="dms:Choice">
          <xsd:enumeration value="Athena Swan"/>
          <xsd:enumeration value="Learning analytics"/>
          <xsd:enumeration value="ELIR"/>
          <xsd:enumeration value="Enhancement themes"/>
          <xsd:enumeration value="Graduate attributes"/>
          <xsd:enumeration value="Open education"/>
          <xsd:enumeration value="REF2020"/>
          <xsd:enumeration value="Uncategori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37777-C05A-464C-96D8-5DB0682AA46C}">
  <ds:schemaRefs>
    <ds:schemaRef ds:uri="http://schemas.openxmlformats.org/officeDocument/2006/bibliography"/>
  </ds:schemaRefs>
</ds:datastoreItem>
</file>

<file path=customXml/itemProps2.xml><?xml version="1.0" encoding="utf-8"?>
<ds:datastoreItem xmlns:ds="http://schemas.openxmlformats.org/officeDocument/2006/customXml" ds:itemID="{102F64BD-599F-4EA0-BD77-E15B5E28DE85}">
  <ds:schemaRefs>
    <ds:schemaRef ds:uri="http://schemas.microsoft.com/office/infopath/2007/PartnerControls"/>
    <ds:schemaRef ds:uri="http://purl.org/dc/terms/"/>
    <ds:schemaRef ds:uri="http://schemas.microsoft.com/office/2006/documentManagement/types"/>
    <ds:schemaRef ds:uri="http://purl.org/dc/elements/1.1/"/>
    <ds:schemaRef ds:uri="70e052a2-e816-4cac-85a5-c4bbbbb27793"/>
    <ds:schemaRef ds:uri="http://schemas.microsoft.com/office/2006/metadata/properties"/>
    <ds:schemaRef ds:uri="4f16a79a-8118-4eaf-be5d-d28905bdc35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7E9DBAE-CBC0-45B3-BBD0-B574BC88B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a79a-8118-4eaf-be5d-d28905bdc353"/>
    <ds:schemaRef ds:uri="70e052a2-e816-4cac-85a5-c4bbbbb2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913AA-258A-4F1E-BADD-BCE72AE9D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3790</Words>
  <Characters>21605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07/01/2021</vt:lpstr>
    </vt:vector>
  </TitlesOfParts>
  <Company/>
  <LinksUpToDate>false</LinksUpToDate>
  <CharactersWithSpaces>25345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07/01/2021</dc:title>
  <dc:subject/>
  <dc:creator>Scott Connor</dc:creator>
  <cp:keywords/>
  <dc:description/>
  <cp:lastModifiedBy>Scott Connor</cp:lastModifiedBy>
  <cp:revision>3</cp:revision>
  <cp:lastPrinted>2020-06-09T23:10:00Z</cp:lastPrinted>
  <dcterms:created xsi:type="dcterms:W3CDTF">2021-04-21T09:01:00Z</dcterms:created>
  <dcterms:modified xsi:type="dcterms:W3CDTF">2021-04-21T10:13:00Z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0x010100A1CED4F2A72F0D44B74393CAC2B72D4E</vt:lpwstr>
  </property>
  <property fmtid="{D5CDD505-2E9C-101B-9397-08002B2CF9AE}" pid="3" name="Approving_x0020_Committee">
    <vt:lpwstr/>
  </property>
  <property fmtid="{D5CDD505-2E9C-101B-9397-08002B2CF9AE}" pid="4" name="Document_x0020_category">
    <vt:lpwstr/>
  </property>
  <property fmtid="{D5CDD505-2E9C-101B-9397-08002B2CF9AE}" pid="5" name="UHI classification">
    <vt:lpwstr>2;#Committee business documentation|7feeb65c-cc00-4bb9-9eac-287ff263c2d3</vt:lpwstr>
  </property>
  <property fmtid="{D5CDD505-2E9C-101B-9397-08002B2CF9AE}" pid="6" name="ab4c8eb04da64e5cb0592f6894f7d303">
    <vt:lpwstr/>
  </property>
  <property fmtid="{D5CDD505-2E9C-101B-9397-08002B2CF9AE}" pid="7" name="Approving Committee">
    <vt:lpwstr/>
  </property>
  <property fmtid="{D5CDD505-2E9C-101B-9397-08002B2CF9AE}" pid="8" name="Document category">
    <vt:lpwstr>11;#Paper|51b62f8f-0f1b-4be4-b44f-4fdb1f59b300</vt:lpwstr>
  </property>
  <property fmtid="{D5CDD505-2E9C-101B-9397-08002B2CF9AE}" pid="9" name="SharedWithUsers">
    <vt:lpwstr>15;#Keith Smyth</vt:lpwstr>
  </property>
</Properties>
</file>